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099F" w14:textId="77777777" w:rsidR="00D136A7" w:rsidRPr="00A704BB" w:rsidRDefault="00D136A7" w:rsidP="00A704BB">
      <w:pPr>
        <w:pStyle w:val="Header"/>
        <w:rPr>
          <w:rFonts w:ascii="Arial" w:hAnsi="Arial" w:cs="Arial"/>
          <w:color w:val="A6A6A6" w:themeColor="background1" w:themeShade="A6"/>
          <w:sz w:val="20"/>
          <w:szCs w:val="20"/>
        </w:rPr>
      </w:pPr>
      <w:r w:rsidRPr="00A704BB">
        <w:rPr>
          <w:rFonts w:ascii="Arial" w:hAnsi="Arial" w:cs="Arial"/>
          <w:b/>
          <w:color w:val="A6A6A6" w:themeColor="background1" w:themeShade="A6"/>
          <w:sz w:val="20"/>
          <w:szCs w:val="20"/>
        </w:rPr>
        <w:t>***NOT TO BE DISTRIBUTED - For use by Financial Adviser only***</w:t>
      </w:r>
    </w:p>
    <w:p w14:paraId="7AE80907" w14:textId="77777777" w:rsidR="00D136A7" w:rsidRPr="00A704BB" w:rsidRDefault="00D136A7" w:rsidP="00D85638">
      <w:pPr>
        <w:jc w:val="center"/>
        <w:rPr>
          <w:rFonts w:ascii="Arial" w:hAnsi="Arial" w:cs="Arial"/>
          <w:b/>
          <w:u w:val="single"/>
        </w:rPr>
      </w:pPr>
    </w:p>
    <w:p w14:paraId="5AE8F758" w14:textId="46DC291D" w:rsidR="000765E4" w:rsidRDefault="001265BE" w:rsidP="004B1C4F">
      <w:pPr>
        <w:spacing w:after="120" w:line="240" w:lineRule="auto"/>
        <w:rPr>
          <w:rFonts w:ascii="Arial" w:eastAsia="Arial" w:hAnsi="Arial" w:cs="Arial"/>
          <w:b/>
          <w:color w:val="1B202A"/>
          <w:sz w:val="36"/>
          <w:szCs w:val="36"/>
          <w:lang w:val="en-US"/>
        </w:rPr>
      </w:pPr>
      <w:r w:rsidRPr="00A704BB">
        <w:rPr>
          <w:rFonts w:ascii="Arial" w:eastAsia="Arial" w:hAnsi="Arial" w:cs="Arial"/>
          <w:b/>
          <w:color w:val="1B202A"/>
          <w:sz w:val="36"/>
          <w:szCs w:val="36"/>
          <w:lang w:val="en-US"/>
        </w:rPr>
        <w:t>Template Information</w:t>
      </w:r>
      <w:r w:rsidR="00FF46F1" w:rsidRPr="00A704BB">
        <w:rPr>
          <w:rFonts w:ascii="Arial" w:eastAsia="Arial" w:hAnsi="Arial" w:cs="Arial"/>
          <w:b/>
          <w:color w:val="1B202A"/>
          <w:sz w:val="36"/>
          <w:szCs w:val="36"/>
          <w:lang w:val="en-US"/>
        </w:rPr>
        <w:t xml:space="preserve"> Letter</w:t>
      </w:r>
    </w:p>
    <w:p w14:paraId="09D9051E" w14:textId="32CE85F5" w:rsidR="004B1C4F" w:rsidRPr="004B1C4F" w:rsidRDefault="004B1C4F" w:rsidP="004B1C4F">
      <w:pPr>
        <w:spacing w:after="0"/>
        <w:rPr>
          <w:rFonts w:ascii="Arial" w:hAnsi="Arial" w:cs="Arial"/>
          <w:i/>
          <w:sz w:val="12"/>
          <w:szCs w:val="12"/>
        </w:rPr>
      </w:pPr>
      <w:r w:rsidRPr="004B1C4F">
        <w:rPr>
          <w:rFonts w:ascii="Arial" w:eastAsia="Arial" w:hAnsi="Arial" w:cs="Arial"/>
          <w:b/>
          <w:color w:val="1B202A"/>
          <w:sz w:val="24"/>
          <w:szCs w:val="24"/>
          <w:lang w:val="en-US"/>
        </w:rPr>
        <w:t xml:space="preserve">Puma </w:t>
      </w:r>
      <w:r w:rsidR="00337A64">
        <w:rPr>
          <w:rFonts w:ascii="Arial" w:eastAsia="Arial" w:hAnsi="Arial" w:cs="Arial"/>
          <w:b/>
          <w:color w:val="1B202A"/>
          <w:sz w:val="24"/>
          <w:szCs w:val="24"/>
          <w:lang w:val="en-US"/>
        </w:rPr>
        <w:t>Alpha EIS</w:t>
      </w:r>
    </w:p>
    <w:p w14:paraId="1E4E0D3A" w14:textId="035081F5" w:rsidR="00293AA5" w:rsidRDefault="004B1C4F" w:rsidP="002C302A">
      <w:pPr>
        <w:spacing w:after="0"/>
        <w:rPr>
          <w:rFonts w:ascii="Arial" w:hAnsi="Arial" w:cs="Arial"/>
          <w:i/>
          <w:sz w:val="18"/>
          <w:szCs w:val="18"/>
        </w:rPr>
      </w:pPr>
      <w:r w:rsidRPr="004B1C4F">
        <w:rPr>
          <w:rFonts w:ascii="Arial" w:eastAsia="Arial" w:hAnsi="Arial" w:cs="Arial"/>
          <w:b/>
          <w:noProof/>
          <w:color w:val="1B202A"/>
          <w:sz w:val="36"/>
          <w:szCs w:val="36"/>
          <w:lang w:val="en-US"/>
        </w:rPr>
        <mc:AlternateContent>
          <mc:Choice Requires="wps">
            <w:drawing>
              <wp:anchor distT="0" distB="0" distL="114300" distR="114300" simplePos="0" relativeHeight="251660288" behindDoc="0" locked="0" layoutInCell="1" allowOverlap="1" wp14:anchorId="48506CCB" wp14:editId="1B10020D">
                <wp:simplePos x="0" y="0"/>
                <wp:positionH relativeFrom="margin">
                  <wp:posOffset>6985</wp:posOffset>
                </wp:positionH>
                <wp:positionV relativeFrom="page">
                  <wp:posOffset>2860675</wp:posOffset>
                </wp:positionV>
                <wp:extent cx="5724525"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2065">
                          <a:solidFill>
                            <a:srgbClr val="0022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336CF" id="Line 2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5pt,225.25pt" to="451.3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" strokecolor="#024" strokeweight=".95pt">
                <w10:wrap anchorx="margin" anchory="page"/>
              </v:line>
            </w:pict>
          </mc:Fallback>
        </mc:AlternateContent>
      </w:r>
    </w:p>
    <w:p w14:paraId="2339E12F" w14:textId="77777777" w:rsidR="00293AA5" w:rsidRDefault="00293AA5" w:rsidP="002C302A">
      <w:pPr>
        <w:spacing w:after="0"/>
        <w:rPr>
          <w:rFonts w:ascii="Arial" w:hAnsi="Arial" w:cs="Arial"/>
          <w:i/>
          <w:sz w:val="18"/>
          <w:szCs w:val="18"/>
        </w:rPr>
      </w:pPr>
    </w:p>
    <w:p w14:paraId="5EC741FA" w14:textId="77777777" w:rsidR="009A46F2" w:rsidRDefault="009A46F2" w:rsidP="0089502F">
      <w:pPr>
        <w:spacing w:after="0"/>
        <w:rPr>
          <w:rFonts w:ascii="Arial" w:hAnsi="Arial" w:cs="Arial"/>
          <w:i/>
          <w:sz w:val="18"/>
          <w:szCs w:val="18"/>
        </w:rPr>
      </w:pPr>
    </w:p>
    <w:p w14:paraId="14C93347" w14:textId="701BA1AE" w:rsidR="00142971" w:rsidRPr="00311DFB" w:rsidRDefault="00142971" w:rsidP="00142971">
      <w:pPr>
        <w:autoSpaceDE w:val="0"/>
        <w:autoSpaceDN w:val="0"/>
        <w:adjustRightInd w:val="0"/>
        <w:rPr>
          <w:rFonts w:cs="Arial"/>
          <w:iCs/>
          <w:szCs w:val="20"/>
          <w:lang w:eastAsia="en-GB"/>
        </w:rPr>
      </w:pPr>
      <w:r w:rsidRPr="00142971">
        <w:rPr>
          <w:rFonts w:ascii="Arial" w:hAnsi="Arial" w:cs="Arial"/>
          <w:i/>
          <w:sz w:val="18"/>
          <w:szCs w:val="18"/>
        </w:rPr>
        <w:t xml:space="preserve">The </w:t>
      </w:r>
      <w:proofErr w:type="gramStart"/>
      <w:r w:rsidRPr="00142971">
        <w:rPr>
          <w:rFonts w:ascii="Arial" w:hAnsi="Arial" w:cs="Arial"/>
          <w:i/>
          <w:sz w:val="18"/>
          <w:szCs w:val="18"/>
        </w:rPr>
        <w:t>factual information</w:t>
      </w:r>
      <w:proofErr w:type="gramEnd"/>
      <w:r w:rsidRPr="00142971">
        <w:rPr>
          <w:rFonts w:ascii="Arial" w:hAnsi="Arial" w:cs="Arial"/>
          <w:i/>
          <w:sz w:val="18"/>
          <w:szCs w:val="18"/>
        </w:rPr>
        <w:t xml:space="preserve"> set out below does not constitute a suitability letter or a personal recommendation by Puma Investment Management Limited (the “Manager” or “Puma Investments”) to you or your underlying clients and should not be treated as such. The information is provided to assist you in determining whether Puma Alpha EIS (the “Fund”, “Offer” or “Company”) is suitable for your clients. We have set out some of the key features of the Offer which should be read in conjunction with the Investment Details, the Investor Agreement, the Intermediary Agreement and the Key Information Document (KID) (which are available at </w:t>
      </w:r>
      <w:hyperlink r:id="rId11" w:history="1">
        <w:r w:rsidRPr="00142971">
          <w:rPr>
            <w:rFonts w:ascii="Arial" w:hAnsi="Arial"/>
            <w:sz w:val="18"/>
            <w:szCs w:val="18"/>
          </w:rPr>
          <w:t>https://www.pumainvestments.co.uk/advisors-puma-alpha-eis</w:t>
        </w:r>
      </w:hyperlink>
      <w:r w:rsidRPr="00142971">
        <w:rPr>
          <w:rFonts w:ascii="Arial" w:hAnsi="Arial" w:cs="Arial"/>
          <w:i/>
          <w:sz w:val="18"/>
          <w:szCs w:val="18"/>
        </w:rPr>
        <w:t>). You must ensure you are satisfied that any investment by you and/or your underlying clients into the Fund complies with the FCA’s rules and your own Compliance Department Guidelines. You should refer to the Investment Details as the basis for an investment in the Puma Alpha EIS. Please see the disclaimer at the end of this document.</w:t>
      </w:r>
    </w:p>
    <w:p w14:paraId="38E4492A" w14:textId="05C0F2A7" w:rsidR="0089502F" w:rsidRPr="004B1C4F" w:rsidRDefault="0089502F" w:rsidP="0089502F">
      <w:pPr>
        <w:spacing w:after="0"/>
        <w:rPr>
          <w:rFonts w:ascii="Arial" w:hAnsi="Arial" w:cs="Arial"/>
          <w:i/>
          <w:sz w:val="18"/>
          <w:szCs w:val="18"/>
        </w:rPr>
      </w:pPr>
    </w:p>
    <w:p w14:paraId="28D79A37" w14:textId="44554ACD" w:rsidR="0089502F" w:rsidRPr="004B1C4F" w:rsidRDefault="0089502F" w:rsidP="0089502F">
      <w:pPr>
        <w:autoSpaceDE w:val="0"/>
        <w:autoSpaceDN w:val="0"/>
        <w:adjustRightInd w:val="0"/>
        <w:spacing w:after="0" w:line="240" w:lineRule="auto"/>
        <w:rPr>
          <w:rFonts w:ascii="Arial" w:hAnsi="Arial" w:cs="Arial"/>
          <w:sz w:val="18"/>
          <w:szCs w:val="18"/>
        </w:rPr>
      </w:pPr>
    </w:p>
    <w:p w14:paraId="28C2891F" w14:textId="644B54AD" w:rsidR="00950B8B" w:rsidRDefault="009A46F2" w:rsidP="00950B8B">
      <w:pPr>
        <w:spacing w:after="0"/>
        <w:rPr>
          <w:rFonts w:ascii="Arial" w:hAnsi="Arial" w:cs="Arial"/>
          <w:sz w:val="18"/>
          <w:szCs w:val="18"/>
        </w:rPr>
      </w:pPr>
      <w:r w:rsidRPr="004B1C4F">
        <w:rPr>
          <w:rFonts w:ascii="Arial" w:eastAsia="Arial" w:hAnsi="Arial" w:cs="Arial"/>
          <w:b/>
          <w:noProof/>
          <w:color w:val="1B202A"/>
          <w:sz w:val="36"/>
          <w:szCs w:val="36"/>
          <w:lang w:val="en-US"/>
        </w:rPr>
        <mc:AlternateContent>
          <mc:Choice Requires="wps">
            <w:drawing>
              <wp:anchor distT="0" distB="0" distL="114300" distR="114300" simplePos="0" relativeHeight="251664384" behindDoc="0" locked="0" layoutInCell="1" allowOverlap="1" wp14:anchorId="14455363" wp14:editId="01AFB9EA">
                <wp:simplePos x="0" y="0"/>
                <wp:positionH relativeFrom="margin">
                  <wp:posOffset>6350</wp:posOffset>
                </wp:positionH>
                <wp:positionV relativeFrom="page">
                  <wp:posOffset>4711700</wp:posOffset>
                </wp:positionV>
                <wp:extent cx="5724525"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2065">
                          <a:solidFill>
                            <a:srgbClr val="0022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932F9" id="Line 2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71pt" to="451.2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" strokecolor="#024" strokeweight=".95pt">
                <w10:wrap anchorx="margin" anchory="page"/>
              </v:line>
            </w:pict>
          </mc:Fallback>
        </mc:AlternateContent>
      </w:r>
      <w:r w:rsidR="00BE0755" w:rsidRPr="00AF3322">
        <w:rPr>
          <w:rFonts w:ascii="Arial" w:hAnsi="Arial" w:cs="Arial"/>
          <w:b/>
          <w:bCs/>
          <w:iCs/>
          <w:sz w:val="18"/>
          <w:szCs w:val="18"/>
          <w:lang w:eastAsia="en-GB"/>
        </w:rPr>
        <w:t>What is an Enterprise Investment Scheme?</w:t>
      </w:r>
    </w:p>
    <w:p w14:paraId="38FC68A9" w14:textId="77777777" w:rsidR="00950B8B" w:rsidRPr="00950B8B" w:rsidRDefault="00950B8B" w:rsidP="00950B8B">
      <w:pPr>
        <w:spacing w:after="0"/>
        <w:rPr>
          <w:rFonts w:ascii="Arial" w:hAnsi="Arial" w:cs="Arial"/>
          <w:sz w:val="18"/>
          <w:szCs w:val="18"/>
        </w:rPr>
      </w:pPr>
    </w:p>
    <w:p w14:paraId="591C002A" w14:textId="4647DFE1" w:rsidR="00AF3322" w:rsidRDefault="00BE0755" w:rsidP="00BE0755">
      <w:pPr>
        <w:autoSpaceDE w:val="0"/>
        <w:autoSpaceDN w:val="0"/>
        <w:adjustRightInd w:val="0"/>
        <w:rPr>
          <w:rFonts w:ascii="Arial" w:hAnsi="Arial" w:cs="Arial"/>
          <w:iCs/>
          <w:sz w:val="18"/>
          <w:szCs w:val="18"/>
          <w:lang w:eastAsia="en-GB"/>
        </w:rPr>
      </w:pPr>
      <w:r w:rsidRPr="0045227C">
        <w:rPr>
          <w:rFonts w:ascii="Arial" w:hAnsi="Arial" w:cs="Arial"/>
          <w:iCs/>
          <w:sz w:val="18"/>
          <w:szCs w:val="18"/>
          <w:lang w:eastAsia="en-GB"/>
        </w:rPr>
        <w:t xml:space="preserve">The Enterprise Investment Scheme (“EIS”) is a </w:t>
      </w:r>
      <w:proofErr w:type="gramStart"/>
      <w:r w:rsidRPr="0045227C">
        <w:rPr>
          <w:rFonts w:ascii="Arial" w:hAnsi="Arial" w:cs="Arial"/>
          <w:iCs/>
          <w:sz w:val="18"/>
          <w:szCs w:val="18"/>
          <w:lang w:eastAsia="en-GB"/>
        </w:rPr>
        <w:t>Government</w:t>
      </w:r>
      <w:proofErr w:type="gramEnd"/>
      <w:r w:rsidRPr="0045227C">
        <w:rPr>
          <w:rFonts w:ascii="Arial" w:hAnsi="Arial" w:cs="Arial"/>
          <w:iCs/>
          <w:sz w:val="18"/>
          <w:szCs w:val="18"/>
          <w:lang w:eastAsia="en-GB"/>
        </w:rPr>
        <w:t xml:space="preserve"> scheme set up in 1994 to encourage investment into small companies. It provides a range of HMRC approved tax reliefs for investors who subscribe for qualifying shares in qualifying companies.</w:t>
      </w:r>
    </w:p>
    <w:p w14:paraId="7C142C1C" w14:textId="77777777" w:rsidR="00950B8B" w:rsidRDefault="00950B8B" w:rsidP="00950B8B">
      <w:pPr>
        <w:autoSpaceDE w:val="0"/>
        <w:autoSpaceDN w:val="0"/>
        <w:adjustRightInd w:val="0"/>
        <w:spacing w:after="0" w:line="240" w:lineRule="auto"/>
        <w:rPr>
          <w:rFonts w:ascii="Arial" w:hAnsi="Arial" w:cs="Arial"/>
          <w:b/>
          <w:bCs/>
          <w:iCs/>
          <w:sz w:val="18"/>
          <w:szCs w:val="18"/>
          <w:lang w:eastAsia="en-GB"/>
        </w:rPr>
      </w:pPr>
    </w:p>
    <w:p w14:paraId="1F17FDE9" w14:textId="322CCF29" w:rsidR="00BE0755" w:rsidRPr="00AF3322" w:rsidRDefault="00BE0755" w:rsidP="00BE0755">
      <w:pPr>
        <w:autoSpaceDE w:val="0"/>
        <w:autoSpaceDN w:val="0"/>
        <w:adjustRightInd w:val="0"/>
        <w:rPr>
          <w:rFonts w:ascii="Arial" w:hAnsi="Arial" w:cs="Arial"/>
          <w:b/>
          <w:bCs/>
          <w:iCs/>
          <w:sz w:val="18"/>
          <w:szCs w:val="18"/>
          <w:lang w:eastAsia="en-GB"/>
        </w:rPr>
      </w:pPr>
      <w:r w:rsidRPr="00AF3322">
        <w:rPr>
          <w:rFonts w:ascii="Arial" w:hAnsi="Arial" w:cs="Arial"/>
          <w:b/>
          <w:bCs/>
          <w:iCs/>
          <w:sz w:val="18"/>
          <w:szCs w:val="18"/>
          <w:lang w:eastAsia="en-GB"/>
        </w:rPr>
        <w:t>What is Puma Alpha EIS?</w:t>
      </w:r>
    </w:p>
    <w:p w14:paraId="76748AA4" w14:textId="77777777" w:rsidR="00BE0755" w:rsidRPr="0045227C" w:rsidRDefault="00BE0755" w:rsidP="00BE0755">
      <w:pPr>
        <w:numPr>
          <w:ilvl w:val="0"/>
          <w:numId w:val="9"/>
        </w:numPr>
        <w:autoSpaceDE w:val="0"/>
        <w:autoSpaceDN w:val="0"/>
        <w:adjustRightInd w:val="0"/>
        <w:spacing w:after="0"/>
        <w:rPr>
          <w:rFonts w:ascii="Arial" w:hAnsi="Arial" w:cs="Arial"/>
          <w:iCs/>
          <w:sz w:val="18"/>
          <w:szCs w:val="18"/>
          <w:lang w:eastAsia="en-GB"/>
        </w:rPr>
      </w:pPr>
      <w:r w:rsidRPr="0045227C">
        <w:rPr>
          <w:rFonts w:ascii="Arial" w:hAnsi="Arial" w:cs="Arial"/>
          <w:iCs/>
          <w:sz w:val="18"/>
          <w:szCs w:val="18"/>
          <w:lang w:eastAsia="en-GB"/>
        </w:rPr>
        <w:t xml:space="preserve">The Puma Alpha EIS fund was launched in 2017. </w:t>
      </w:r>
    </w:p>
    <w:p w14:paraId="6FF79BDA" w14:textId="77777777" w:rsidR="00BE0755" w:rsidRPr="0045227C" w:rsidRDefault="00BE0755" w:rsidP="00BE0755">
      <w:pPr>
        <w:numPr>
          <w:ilvl w:val="0"/>
          <w:numId w:val="9"/>
        </w:numPr>
        <w:autoSpaceDE w:val="0"/>
        <w:autoSpaceDN w:val="0"/>
        <w:adjustRightInd w:val="0"/>
        <w:spacing w:after="0"/>
        <w:rPr>
          <w:rFonts w:ascii="Arial" w:hAnsi="Arial" w:cs="Arial"/>
          <w:iCs/>
          <w:sz w:val="18"/>
          <w:szCs w:val="18"/>
          <w:lang w:eastAsia="en-GB"/>
        </w:rPr>
      </w:pPr>
      <w:r w:rsidRPr="0045227C">
        <w:rPr>
          <w:rFonts w:ascii="Arial" w:hAnsi="Arial" w:cs="Arial"/>
          <w:iCs/>
          <w:sz w:val="18"/>
          <w:szCs w:val="18"/>
          <w:lang w:eastAsia="en-GB"/>
        </w:rPr>
        <w:t xml:space="preserve">It seeks to support the growth of UK SMEs through backing exceptional management teams. </w:t>
      </w:r>
    </w:p>
    <w:p w14:paraId="0922F827" w14:textId="77777777" w:rsidR="00BE0755" w:rsidRPr="0045227C" w:rsidRDefault="00BE0755" w:rsidP="00BE0755">
      <w:pPr>
        <w:numPr>
          <w:ilvl w:val="0"/>
          <w:numId w:val="9"/>
        </w:numPr>
        <w:autoSpaceDE w:val="0"/>
        <w:autoSpaceDN w:val="0"/>
        <w:adjustRightInd w:val="0"/>
        <w:spacing w:after="0"/>
        <w:rPr>
          <w:rFonts w:ascii="Arial" w:hAnsi="Arial" w:cs="Arial"/>
          <w:iCs/>
          <w:sz w:val="18"/>
          <w:szCs w:val="18"/>
          <w:lang w:eastAsia="en-GB"/>
        </w:rPr>
      </w:pPr>
      <w:r w:rsidRPr="0045227C">
        <w:rPr>
          <w:rFonts w:ascii="Arial" w:hAnsi="Arial" w:cs="Arial"/>
          <w:iCs/>
          <w:sz w:val="18"/>
          <w:szCs w:val="18"/>
          <w:lang w:eastAsia="en-GB"/>
        </w:rPr>
        <w:t>It seeks to deliver appropriate risk-adjusted returns together with the full range of EIS tax reliefs on 100% of funds subscribed to the Fund (after deduction of financial adviser charges).</w:t>
      </w:r>
    </w:p>
    <w:p w14:paraId="1D96B0AF" w14:textId="77777777" w:rsidR="00BE0755" w:rsidRPr="0045227C" w:rsidRDefault="00BE0755" w:rsidP="00BE0755">
      <w:pPr>
        <w:autoSpaceDE w:val="0"/>
        <w:autoSpaceDN w:val="0"/>
        <w:adjustRightInd w:val="0"/>
        <w:rPr>
          <w:rFonts w:ascii="Arial" w:hAnsi="Arial" w:cs="Arial"/>
          <w:iCs/>
          <w:sz w:val="18"/>
          <w:szCs w:val="18"/>
          <w:lang w:eastAsia="en-GB"/>
        </w:rPr>
      </w:pPr>
    </w:p>
    <w:p w14:paraId="0CE2D367" w14:textId="4B221924" w:rsidR="00BE0755" w:rsidRPr="00AF3322" w:rsidRDefault="00BE0755" w:rsidP="00BE0755">
      <w:pPr>
        <w:autoSpaceDE w:val="0"/>
        <w:autoSpaceDN w:val="0"/>
        <w:adjustRightInd w:val="0"/>
        <w:rPr>
          <w:rFonts w:ascii="Arial" w:hAnsi="Arial" w:cs="Arial"/>
          <w:b/>
          <w:bCs/>
          <w:iCs/>
          <w:sz w:val="18"/>
          <w:szCs w:val="18"/>
          <w:lang w:eastAsia="en-GB"/>
        </w:rPr>
      </w:pPr>
      <w:r w:rsidRPr="00AF3322">
        <w:rPr>
          <w:rFonts w:ascii="Arial" w:hAnsi="Arial" w:cs="Arial"/>
          <w:b/>
          <w:bCs/>
          <w:iCs/>
          <w:sz w:val="18"/>
          <w:szCs w:val="18"/>
          <w:lang w:eastAsia="en-GB"/>
        </w:rPr>
        <w:t>More on the Investment Manager</w:t>
      </w:r>
    </w:p>
    <w:p w14:paraId="2499AD9D" w14:textId="74AA8240" w:rsidR="00BE0755" w:rsidRPr="00AF3322" w:rsidRDefault="00BE0755" w:rsidP="00AF3322">
      <w:pPr>
        <w:numPr>
          <w:ilvl w:val="0"/>
          <w:numId w:val="10"/>
        </w:numPr>
        <w:autoSpaceDE w:val="0"/>
        <w:autoSpaceDN w:val="0"/>
        <w:adjustRightInd w:val="0"/>
        <w:spacing w:after="0"/>
        <w:rPr>
          <w:rFonts w:ascii="Arial" w:hAnsi="Arial" w:cs="Arial"/>
          <w:iCs/>
          <w:sz w:val="18"/>
          <w:szCs w:val="18"/>
          <w:lang w:eastAsia="en-GB"/>
        </w:rPr>
      </w:pPr>
      <w:r w:rsidRPr="0045227C">
        <w:rPr>
          <w:rFonts w:ascii="Arial" w:hAnsi="Arial" w:cs="Arial"/>
          <w:iCs/>
          <w:sz w:val="18"/>
          <w:szCs w:val="18"/>
          <w:lang w:eastAsia="en-GB"/>
        </w:rPr>
        <w:t>Puma Investments and its wider organisation have managed 2 EISs and 14 VCTs to date.</w:t>
      </w:r>
    </w:p>
    <w:p w14:paraId="36A61A8E" w14:textId="77777777" w:rsidR="00BE0755" w:rsidRPr="0045227C" w:rsidRDefault="00BE0755" w:rsidP="00BE0755">
      <w:pPr>
        <w:numPr>
          <w:ilvl w:val="0"/>
          <w:numId w:val="10"/>
        </w:numPr>
        <w:autoSpaceDE w:val="0"/>
        <w:autoSpaceDN w:val="0"/>
        <w:adjustRightInd w:val="0"/>
        <w:spacing w:after="0"/>
        <w:rPr>
          <w:rFonts w:ascii="Arial" w:hAnsi="Arial" w:cs="Arial"/>
          <w:iCs/>
          <w:sz w:val="18"/>
          <w:szCs w:val="18"/>
          <w:lang w:eastAsia="en-GB"/>
        </w:rPr>
      </w:pPr>
      <w:r w:rsidRPr="0045227C">
        <w:rPr>
          <w:rFonts w:ascii="Arial" w:hAnsi="Arial" w:cs="Arial"/>
          <w:iCs/>
          <w:sz w:val="18"/>
          <w:szCs w:val="18"/>
          <w:lang w:eastAsia="en-GB"/>
        </w:rPr>
        <w:t>Puma Investments has raised over £380 million to date across its EIS and VCT offers.</w:t>
      </w:r>
    </w:p>
    <w:p w14:paraId="1D558E1C" w14:textId="13EF6C48" w:rsidR="00BE0755" w:rsidRPr="0045227C" w:rsidRDefault="00BE0755" w:rsidP="00BE0755">
      <w:pPr>
        <w:pStyle w:val="ListParagraph"/>
        <w:numPr>
          <w:ilvl w:val="0"/>
          <w:numId w:val="4"/>
        </w:numPr>
        <w:spacing w:after="0"/>
        <w:jc w:val="both"/>
        <w:rPr>
          <w:rFonts w:ascii="Arial" w:hAnsi="Arial" w:cs="Arial"/>
          <w:sz w:val="18"/>
          <w:szCs w:val="18"/>
        </w:rPr>
      </w:pPr>
      <w:r w:rsidRPr="0045227C">
        <w:rPr>
          <w:rFonts w:ascii="Arial" w:hAnsi="Arial" w:cs="Arial"/>
          <w:sz w:val="18"/>
          <w:szCs w:val="18"/>
        </w:rPr>
        <w:t>The Puma VCTs, Puma EIS and Puma Alpha EIS have invested more than £</w:t>
      </w:r>
      <w:r w:rsidR="00C0026A">
        <w:rPr>
          <w:rFonts w:ascii="Arial" w:hAnsi="Arial" w:cs="Arial"/>
          <w:sz w:val="18"/>
          <w:szCs w:val="18"/>
        </w:rPr>
        <w:t>310</w:t>
      </w:r>
      <w:r w:rsidRPr="0045227C">
        <w:rPr>
          <w:rFonts w:ascii="Arial" w:hAnsi="Arial" w:cs="Arial"/>
          <w:sz w:val="18"/>
          <w:szCs w:val="18"/>
        </w:rPr>
        <w:t xml:space="preserve"> million in </w:t>
      </w:r>
      <w:r w:rsidR="002B6822">
        <w:rPr>
          <w:rFonts w:ascii="Arial" w:hAnsi="Arial" w:cs="Arial"/>
          <w:sz w:val="18"/>
          <w:szCs w:val="18"/>
        </w:rPr>
        <w:t xml:space="preserve">over </w:t>
      </w:r>
      <w:r w:rsidRPr="0045227C">
        <w:rPr>
          <w:rFonts w:ascii="Arial" w:hAnsi="Arial" w:cs="Arial"/>
          <w:sz w:val="18"/>
          <w:szCs w:val="18"/>
        </w:rPr>
        <w:t>60 qualifying companies, with 3</w:t>
      </w:r>
      <w:r w:rsidR="002B6822">
        <w:rPr>
          <w:rFonts w:ascii="Arial" w:hAnsi="Arial" w:cs="Arial"/>
          <w:sz w:val="18"/>
          <w:szCs w:val="18"/>
        </w:rPr>
        <w:t>8</w:t>
      </w:r>
      <w:r w:rsidRPr="0045227C">
        <w:rPr>
          <w:rFonts w:ascii="Arial" w:hAnsi="Arial" w:cs="Arial"/>
          <w:sz w:val="18"/>
          <w:szCs w:val="18"/>
        </w:rPr>
        <w:t xml:space="preserve"> full </w:t>
      </w:r>
      <w:proofErr w:type="gramStart"/>
      <w:r w:rsidRPr="0045227C">
        <w:rPr>
          <w:rFonts w:ascii="Arial" w:hAnsi="Arial" w:cs="Arial"/>
          <w:sz w:val="18"/>
          <w:szCs w:val="18"/>
        </w:rPr>
        <w:t>exits</w:t>
      </w:r>
      <w:proofErr w:type="gramEnd"/>
    </w:p>
    <w:p w14:paraId="76397773" w14:textId="77777777" w:rsidR="00BE0755" w:rsidRPr="0045227C" w:rsidRDefault="00BE0755" w:rsidP="00BE0755">
      <w:pPr>
        <w:numPr>
          <w:ilvl w:val="0"/>
          <w:numId w:val="10"/>
        </w:numPr>
        <w:autoSpaceDE w:val="0"/>
        <w:autoSpaceDN w:val="0"/>
        <w:adjustRightInd w:val="0"/>
        <w:spacing w:after="0"/>
        <w:rPr>
          <w:rFonts w:ascii="Arial" w:hAnsi="Arial" w:cs="Arial"/>
          <w:iCs/>
          <w:sz w:val="18"/>
          <w:szCs w:val="18"/>
          <w:lang w:eastAsia="en-GB"/>
        </w:rPr>
      </w:pPr>
      <w:r w:rsidRPr="0045227C">
        <w:rPr>
          <w:rFonts w:ascii="Arial" w:hAnsi="Arial" w:cs="Arial"/>
          <w:iCs/>
          <w:sz w:val="18"/>
          <w:szCs w:val="18"/>
          <w:lang w:eastAsia="en-GB"/>
        </w:rPr>
        <w:t>Puma Investments is part of the Shore Capital Group, an independent financial services group with a 35-year history and over £1.8bn of assets under management.</w:t>
      </w:r>
    </w:p>
    <w:p w14:paraId="15A86839" w14:textId="77777777" w:rsidR="00BE0755" w:rsidRPr="0045227C" w:rsidRDefault="00BE0755" w:rsidP="00BE0755">
      <w:pPr>
        <w:autoSpaceDE w:val="0"/>
        <w:autoSpaceDN w:val="0"/>
        <w:rPr>
          <w:rFonts w:ascii="Arial" w:hAnsi="Arial" w:cs="Arial"/>
          <w:b/>
          <w:sz w:val="18"/>
          <w:szCs w:val="18"/>
          <w:u w:val="single"/>
        </w:rPr>
      </w:pPr>
    </w:p>
    <w:p w14:paraId="78B3067B" w14:textId="77777777" w:rsidR="00BE0755" w:rsidRPr="00AF3322" w:rsidRDefault="00BE0755" w:rsidP="00BE0755">
      <w:pPr>
        <w:autoSpaceDE w:val="0"/>
        <w:autoSpaceDN w:val="0"/>
        <w:adjustRightInd w:val="0"/>
        <w:rPr>
          <w:rFonts w:ascii="Arial" w:hAnsi="Arial" w:cs="Arial"/>
          <w:b/>
          <w:sz w:val="18"/>
          <w:szCs w:val="18"/>
          <w:lang w:eastAsia="en-GB"/>
        </w:rPr>
      </w:pPr>
      <w:r w:rsidRPr="00AF3322">
        <w:rPr>
          <w:rFonts w:ascii="Arial" w:hAnsi="Arial" w:cs="Arial"/>
          <w:b/>
          <w:sz w:val="18"/>
          <w:szCs w:val="18"/>
          <w:lang w:eastAsia="en-GB"/>
        </w:rPr>
        <w:t>What is the Fund’s investment policy?</w:t>
      </w:r>
    </w:p>
    <w:p w14:paraId="071FC27E" w14:textId="77777777" w:rsidR="00BE0755" w:rsidRPr="0045227C" w:rsidRDefault="00BE0755" w:rsidP="00BE0755">
      <w:pPr>
        <w:autoSpaceDE w:val="0"/>
        <w:autoSpaceDN w:val="0"/>
        <w:rPr>
          <w:rFonts w:ascii="Arial" w:hAnsi="Arial" w:cs="Arial"/>
          <w:sz w:val="18"/>
          <w:szCs w:val="18"/>
        </w:rPr>
      </w:pPr>
      <w:r w:rsidRPr="0045227C">
        <w:rPr>
          <w:rFonts w:ascii="Arial" w:hAnsi="Arial" w:cs="Arial"/>
          <w:sz w:val="18"/>
          <w:szCs w:val="18"/>
        </w:rPr>
        <w:t>The Fund aims to give investors exposure to the earnings of quality operating businesses. The strength of the management team and business plan, the attractiveness of the sector,</w:t>
      </w:r>
    </w:p>
    <w:p w14:paraId="6E697553" w14:textId="140C365B" w:rsidR="00BE0755" w:rsidRPr="0045227C" w:rsidRDefault="00BE0755" w:rsidP="00BE0755">
      <w:pPr>
        <w:autoSpaceDE w:val="0"/>
        <w:autoSpaceDN w:val="0"/>
        <w:rPr>
          <w:rFonts w:ascii="Arial" w:hAnsi="Arial" w:cs="Arial"/>
          <w:sz w:val="18"/>
          <w:szCs w:val="18"/>
        </w:rPr>
      </w:pPr>
      <w:r w:rsidRPr="0045227C">
        <w:rPr>
          <w:rFonts w:ascii="Arial" w:hAnsi="Arial" w:cs="Arial"/>
          <w:sz w:val="18"/>
          <w:szCs w:val="18"/>
        </w:rPr>
        <w:lastRenderedPageBreak/>
        <w:t>sector support for growth (for example due to changes in the demographics, regulation, consumer habits or technology), other differentiating factors and the plan for exit will all contribute to assessing the quality of the respective opportunity.</w:t>
      </w:r>
    </w:p>
    <w:p w14:paraId="0E548232" w14:textId="672AA457" w:rsidR="00BE0755" w:rsidRPr="0045227C" w:rsidRDefault="00BE0755" w:rsidP="00BE0755">
      <w:pPr>
        <w:autoSpaceDE w:val="0"/>
        <w:autoSpaceDN w:val="0"/>
        <w:rPr>
          <w:rFonts w:ascii="Arial" w:hAnsi="Arial" w:cs="Arial"/>
          <w:sz w:val="18"/>
          <w:szCs w:val="18"/>
        </w:rPr>
      </w:pPr>
      <w:r w:rsidRPr="0045227C">
        <w:rPr>
          <w:rFonts w:ascii="Arial" w:hAnsi="Arial" w:cs="Arial"/>
          <w:sz w:val="18"/>
          <w:szCs w:val="18"/>
        </w:rPr>
        <w:t xml:space="preserve">By way of example, previous investments have been into businesses across sectors ranging from HR technology to software, fleet technology, retail, automotive, sports apparel and health engagement platforms. </w:t>
      </w:r>
    </w:p>
    <w:p w14:paraId="12CD677C" w14:textId="354D9FE5" w:rsidR="00BE0755" w:rsidRPr="0045227C" w:rsidRDefault="00BE0755" w:rsidP="00BE0755">
      <w:pPr>
        <w:autoSpaceDE w:val="0"/>
        <w:autoSpaceDN w:val="0"/>
        <w:rPr>
          <w:rFonts w:ascii="Arial" w:hAnsi="Arial" w:cs="Arial"/>
          <w:sz w:val="18"/>
          <w:szCs w:val="18"/>
        </w:rPr>
      </w:pPr>
      <w:r w:rsidRPr="0045227C">
        <w:rPr>
          <w:rFonts w:ascii="Arial" w:hAnsi="Arial" w:cs="Arial"/>
          <w:sz w:val="18"/>
          <w:szCs w:val="18"/>
        </w:rPr>
        <w:t>The Fund intends to invest in businesses which have been pre-cleared by HMRC as meeting the requirements to be qualifying for EIS purposes. This process is known as Advanced Assurance. The Manager will work with specialist advisers to assist portfolio companies in obtaining Advance Assurance where they do not already have it.</w:t>
      </w:r>
    </w:p>
    <w:p w14:paraId="5F5EA0BC" w14:textId="576E15F8" w:rsidR="00BE0755" w:rsidRPr="0045227C" w:rsidRDefault="00BE0755" w:rsidP="00BE0755">
      <w:pPr>
        <w:autoSpaceDE w:val="0"/>
        <w:autoSpaceDN w:val="0"/>
        <w:rPr>
          <w:rFonts w:ascii="Arial" w:hAnsi="Arial" w:cs="Arial"/>
          <w:sz w:val="18"/>
          <w:szCs w:val="18"/>
        </w:rPr>
      </w:pPr>
      <w:r w:rsidRPr="0045227C">
        <w:rPr>
          <w:rFonts w:ascii="Arial" w:hAnsi="Arial" w:cs="Arial"/>
          <w:sz w:val="18"/>
          <w:szCs w:val="18"/>
        </w:rPr>
        <w:t>When reviewing potential investments the team will focus on management quality, experience and track record, the strength of business, market positioning, growth potential, counterparty strength and other general factors that may support or threaten the proposed development of the business.</w:t>
      </w:r>
    </w:p>
    <w:p w14:paraId="2CE1630B" w14:textId="72D75EBB" w:rsidR="00BE0755" w:rsidRPr="0045227C" w:rsidRDefault="00BE0755" w:rsidP="00BE0755">
      <w:pPr>
        <w:autoSpaceDE w:val="0"/>
        <w:autoSpaceDN w:val="0"/>
        <w:rPr>
          <w:rFonts w:ascii="Arial" w:hAnsi="Arial" w:cs="Arial"/>
          <w:sz w:val="18"/>
          <w:szCs w:val="18"/>
        </w:rPr>
      </w:pPr>
      <w:r w:rsidRPr="0045227C">
        <w:rPr>
          <w:rFonts w:ascii="Arial" w:hAnsi="Arial" w:cs="Arial"/>
          <w:sz w:val="18"/>
          <w:szCs w:val="18"/>
        </w:rPr>
        <w:t>The Fund will seek to return capital to investors within four to seven years of subscription into the relevant portfolio company. Realisations are most likely to take place by way of a trade sale, sale to an investment fund, or by the portfolio company seeking to list its shares on a public market. The exact timing of exit will depend on commercial circumstances.</w:t>
      </w:r>
    </w:p>
    <w:p w14:paraId="15840AFD" w14:textId="56FD6CD9" w:rsidR="00BE0755" w:rsidRPr="0045227C" w:rsidRDefault="00BE0755" w:rsidP="00BE0755">
      <w:pPr>
        <w:autoSpaceDE w:val="0"/>
        <w:autoSpaceDN w:val="0"/>
        <w:rPr>
          <w:rFonts w:ascii="Arial" w:hAnsi="Arial" w:cs="Arial"/>
          <w:sz w:val="18"/>
          <w:szCs w:val="18"/>
        </w:rPr>
      </w:pPr>
      <w:r w:rsidRPr="0045227C">
        <w:rPr>
          <w:rFonts w:ascii="Arial" w:hAnsi="Arial" w:cs="Arial"/>
          <w:sz w:val="18"/>
          <w:szCs w:val="18"/>
        </w:rPr>
        <w:t>The Manager aims to give investors exposure to at least two different EIS qualifying companies in accordance with the following diversification policy (as may be updated from time to time):</w:t>
      </w:r>
    </w:p>
    <w:p w14:paraId="05A63CFE" w14:textId="77777777" w:rsidR="00BE0755" w:rsidRPr="0045227C" w:rsidRDefault="00BE0755" w:rsidP="00BE0755">
      <w:pPr>
        <w:numPr>
          <w:ilvl w:val="0"/>
          <w:numId w:val="11"/>
        </w:numPr>
        <w:autoSpaceDE w:val="0"/>
        <w:autoSpaceDN w:val="0"/>
        <w:spacing w:after="0"/>
        <w:rPr>
          <w:rFonts w:ascii="Arial" w:hAnsi="Arial" w:cs="Arial"/>
          <w:sz w:val="18"/>
          <w:szCs w:val="18"/>
        </w:rPr>
      </w:pPr>
      <w:r w:rsidRPr="0045227C">
        <w:rPr>
          <w:rFonts w:ascii="Arial" w:hAnsi="Arial" w:cs="Arial"/>
          <w:sz w:val="18"/>
          <w:szCs w:val="18"/>
        </w:rPr>
        <w:t xml:space="preserve">No Investor shall hold more than 25% of the shares in any portfolio </w:t>
      </w:r>
      <w:proofErr w:type="gramStart"/>
      <w:r w:rsidRPr="0045227C">
        <w:rPr>
          <w:rFonts w:ascii="Arial" w:hAnsi="Arial" w:cs="Arial"/>
          <w:sz w:val="18"/>
          <w:szCs w:val="18"/>
        </w:rPr>
        <w:t>company;</w:t>
      </w:r>
      <w:proofErr w:type="gramEnd"/>
      <w:r w:rsidRPr="0045227C">
        <w:rPr>
          <w:rFonts w:ascii="Arial" w:hAnsi="Arial" w:cs="Arial"/>
          <w:sz w:val="18"/>
          <w:szCs w:val="18"/>
        </w:rPr>
        <w:t xml:space="preserve"> </w:t>
      </w:r>
    </w:p>
    <w:p w14:paraId="557E8EC6" w14:textId="77777777" w:rsidR="00BE0755" w:rsidRPr="0045227C" w:rsidRDefault="00BE0755" w:rsidP="00BE0755">
      <w:pPr>
        <w:numPr>
          <w:ilvl w:val="0"/>
          <w:numId w:val="11"/>
        </w:numPr>
        <w:autoSpaceDE w:val="0"/>
        <w:autoSpaceDN w:val="0"/>
        <w:spacing w:after="0"/>
        <w:rPr>
          <w:rFonts w:ascii="Arial" w:hAnsi="Arial" w:cs="Arial"/>
          <w:sz w:val="18"/>
          <w:szCs w:val="18"/>
        </w:rPr>
      </w:pPr>
      <w:r w:rsidRPr="0045227C">
        <w:rPr>
          <w:rFonts w:ascii="Arial" w:hAnsi="Arial" w:cs="Arial"/>
          <w:sz w:val="18"/>
          <w:szCs w:val="18"/>
        </w:rPr>
        <w:t>No more than 50% of any Investor’s funds shall be allotted into any one portfolio company.</w:t>
      </w:r>
    </w:p>
    <w:p w14:paraId="73382C1A" w14:textId="77777777" w:rsidR="00BE0755" w:rsidRPr="0045227C" w:rsidRDefault="00BE0755" w:rsidP="00BE0755">
      <w:pPr>
        <w:autoSpaceDE w:val="0"/>
        <w:autoSpaceDN w:val="0"/>
        <w:rPr>
          <w:rFonts w:ascii="Arial" w:hAnsi="Arial" w:cs="Arial"/>
          <w:bCs/>
          <w:sz w:val="18"/>
          <w:szCs w:val="18"/>
        </w:rPr>
      </w:pPr>
    </w:p>
    <w:p w14:paraId="3253F7B7" w14:textId="585D4D29" w:rsidR="00BE0755" w:rsidRPr="00AF3322" w:rsidRDefault="00BE0755" w:rsidP="00BE0755">
      <w:pPr>
        <w:autoSpaceDE w:val="0"/>
        <w:autoSpaceDN w:val="0"/>
        <w:rPr>
          <w:rFonts w:ascii="Arial" w:hAnsi="Arial" w:cs="Arial"/>
          <w:b/>
          <w:sz w:val="18"/>
          <w:szCs w:val="18"/>
        </w:rPr>
      </w:pPr>
      <w:r w:rsidRPr="00AF3322">
        <w:rPr>
          <w:rFonts w:ascii="Arial" w:hAnsi="Arial" w:cs="Arial"/>
          <w:b/>
          <w:sz w:val="18"/>
          <w:szCs w:val="18"/>
        </w:rPr>
        <w:t>Key features</w:t>
      </w:r>
    </w:p>
    <w:p w14:paraId="5A52FAA6" w14:textId="30C17052" w:rsidR="00BE0755" w:rsidRPr="0045227C" w:rsidRDefault="00BE0755" w:rsidP="00BE0755">
      <w:pPr>
        <w:numPr>
          <w:ilvl w:val="0"/>
          <w:numId w:val="12"/>
        </w:numPr>
        <w:autoSpaceDE w:val="0"/>
        <w:autoSpaceDN w:val="0"/>
        <w:spacing w:after="0"/>
        <w:rPr>
          <w:rFonts w:ascii="Arial" w:hAnsi="Arial" w:cs="Arial"/>
          <w:b/>
          <w:bCs/>
          <w:sz w:val="18"/>
          <w:szCs w:val="18"/>
        </w:rPr>
      </w:pPr>
      <w:r w:rsidRPr="0045227C">
        <w:rPr>
          <w:rFonts w:ascii="Arial" w:hAnsi="Arial" w:cs="Arial"/>
          <w:b/>
          <w:bCs/>
          <w:sz w:val="18"/>
          <w:szCs w:val="18"/>
        </w:rPr>
        <w:t>Investing in established businesses</w:t>
      </w:r>
    </w:p>
    <w:p w14:paraId="48AD4FFD" w14:textId="7C24B1D6" w:rsidR="00BE0755" w:rsidRPr="0045227C" w:rsidRDefault="00BE0755" w:rsidP="00AF3322">
      <w:pPr>
        <w:autoSpaceDE w:val="0"/>
        <w:autoSpaceDN w:val="0"/>
        <w:ind w:left="720"/>
        <w:rPr>
          <w:rFonts w:ascii="Arial" w:hAnsi="Arial" w:cs="Arial"/>
          <w:sz w:val="18"/>
          <w:szCs w:val="18"/>
        </w:rPr>
      </w:pPr>
      <w:r w:rsidRPr="0045227C">
        <w:rPr>
          <w:rFonts w:ascii="Arial" w:hAnsi="Arial" w:cs="Arial"/>
          <w:sz w:val="18"/>
          <w:szCs w:val="18"/>
        </w:rPr>
        <w:t xml:space="preserve">We look for established businesses that have a proven business model and substantial </w:t>
      </w:r>
      <w:proofErr w:type="gramStart"/>
      <w:r w:rsidRPr="0045227C">
        <w:rPr>
          <w:rFonts w:ascii="Arial" w:hAnsi="Arial" w:cs="Arial"/>
          <w:sz w:val="18"/>
          <w:szCs w:val="18"/>
        </w:rPr>
        <w:t>turnover</w:t>
      </w:r>
      <w:proofErr w:type="gramEnd"/>
      <w:r w:rsidRPr="0045227C">
        <w:rPr>
          <w:rFonts w:ascii="Arial" w:hAnsi="Arial" w:cs="Arial"/>
          <w:sz w:val="18"/>
          <w:szCs w:val="18"/>
        </w:rPr>
        <w:t xml:space="preserve"> </w:t>
      </w:r>
    </w:p>
    <w:p w14:paraId="3BE27028" w14:textId="5271C28B" w:rsidR="00BE0755" w:rsidRPr="0045227C" w:rsidRDefault="00BE0755" w:rsidP="00BE0755">
      <w:pPr>
        <w:numPr>
          <w:ilvl w:val="0"/>
          <w:numId w:val="12"/>
        </w:numPr>
        <w:autoSpaceDE w:val="0"/>
        <w:autoSpaceDN w:val="0"/>
        <w:spacing w:after="0"/>
        <w:rPr>
          <w:rFonts w:ascii="Arial" w:hAnsi="Arial" w:cs="Arial"/>
          <w:sz w:val="18"/>
          <w:szCs w:val="18"/>
        </w:rPr>
      </w:pPr>
      <w:r w:rsidRPr="0045227C">
        <w:rPr>
          <w:rFonts w:ascii="Arial" w:hAnsi="Arial" w:cs="Arial"/>
          <w:b/>
          <w:bCs/>
          <w:sz w:val="18"/>
          <w:szCs w:val="18"/>
        </w:rPr>
        <w:t>Sector diversification</w:t>
      </w:r>
    </w:p>
    <w:p w14:paraId="7D5B233E" w14:textId="4DDD3E2C" w:rsidR="00BE0755" w:rsidRPr="0045227C" w:rsidRDefault="00BE0755" w:rsidP="00AF3322">
      <w:pPr>
        <w:autoSpaceDE w:val="0"/>
        <w:autoSpaceDN w:val="0"/>
        <w:ind w:left="720"/>
        <w:rPr>
          <w:rFonts w:ascii="Arial" w:hAnsi="Arial" w:cs="Arial"/>
          <w:sz w:val="18"/>
          <w:szCs w:val="18"/>
        </w:rPr>
      </w:pPr>
      <w:r w:rsidRPr="0045227C">
        <w:rPr>
          <w:rFonts w:ascii="Arial" w:hAnsi="Arial" w:cs="Arial"/>
          <w:sz w:val="18"/>
          <w:szCs w:val="18"/>
        </w:rPr>
        <w:t xml:space="preserve">We are sector agnostic and clients are likely to be invested across several </w:t>
      </w:r>
      <w:proofErr w:type="gramStart"/>
      <w:r w:rsidRPr="0045227C">
        <w:rPr>
          <w:rFonts w:ascii="Arial" w:hAnsi="Arial" w:cs="Arial"/>
          <w:sz w:val="18"/>
          <w:szCs w:val="18"/>
        </w:rPr>
        <w:t>sectors</w:t>
      </w:r>
      <w:proofErr w:type="gramEnd"/>
      <w:r w:rsidRPr="0045227C">
        <w:rPr>
          <w:rFonts w:ascii="Arial" w:hAnsi="Arial" w:cs="Arial"/>
          <w:sz w:val="18"/>
          <w:szCs w:val="18"/>
        </w:rPr>
        <w:t xml:space="preserve"> </w:t>
      </w:r>
    </w:p>
    <w:p w14:paraId="2C63FB95" w14:textId="6DCBE4DB" w:rsidR="00BE0755" w:rsidRPr="0045227C" w:rsidRDefault="00BE0755" w:rsidP="00BE0755">
      <w:pPr>
        <w:numPr>
          <w:ilvl w:val="0"/>
          <w:numId w:val="12"/>
        </w:numPr>
        <w:autoSpaceDE w:val="0"/>
        <w:autoSpaceDN w:val="0"/>
        <w:spacing w:after="0"/>
        <w:rPr>
          <w:rFonts w:ascii="Arial" w:hAnsi="Arial" w:cs="Arial"/>
          <w:b/>
          <w:bCs/>
          <w:sz w:val="18"/>
          <w:szCs w:val="18"/>
        </w:rPr>
      </w:pPr>
      <w:r w:rsidRPr="0045227C">
        <w:rPr>
          <w:rFonts w:ascii="Arial" w:hAnsi="Arial" w:cs="Arial"/>
          <w:b/>
          <w:bCs/>
          <w:sz w:val="18"/>
          <w:szCs w:val="18"/>
        </w:rPr>
        <w:t>Minimum investment</w:t>
      </w:r>
    </w:p>
    <w:p w14:paraId="1EDB2EC0" w14:textId="70DBA084" w:rsidR="00BE0755" w:rsidRPr="0045227C" w:rsidRDefault="00BE0755" w:rsidP="00AF3322">
      <w:pPr>
        <w:autoSpaceDE w:val="0"/>
        <w:autoSpaceDN w:val="0"/>
        <w:ind w:left="720"/>
        <w:rPr>
          <w:rFonts w:ascii="Arial" w:hAnsi="Arial" w:cs="Arial"/>
          <w:sz w:val="18"/>
          <w:szCs w:val="18"/>
        </w:rPr>
      </w:pPr>
      <w:r w:rsidRPr="0045227C">
        <w:rPr>
          <w:rFonts w:ascii="Arial" w:hAnsi="Arial" w:cs="Arial"/>
          <w:sz w:val="18"/>
          <w:szCs w:val="18"/>
        </w:rPr>
        <w:t>£</w:t>
      </w:r>
      <w:r w:rsidR="002B6822">
        <w:rPr>
          <w:rFonts w:ascii="Arial" w:hAnsi="Arial" w:cs="Arial"/>
          <w:sz w:val="18"/>
          <w:szCs w:val="18"/>
        </w:rPr>
        <w:t>2</w:t>
      </w:r>
      <w:r w:rsidRPr="0045227C">
        <w:rPr>
          <w:rFonts w:ascii="Arial" w:hAnsi="Arial" w:cs="Arial"/>
          <w:sz w:val="18"/>
          <w:szCs w:val="18"/>
        </w:rPr>
        <w:t xml:space="preserve">5,000 </w:t>
      </w:r>
    </w:p>
    <w:p w14:paraId="599D4D7F" w14:textId="4217A610" w:rsidR="00BE0755" w:rsidRPr="0045227C" w:rsidRDefault="00BE0755" w:rsidP="00BE0755">
      <w:pPr>
        <w:numPr>
          <w:ilvl w:val="0"/>
          <w:numId w:val="12"/>
        </w:numPr>
        <w:autoSpaceDE w:val="0"/>
        <w:autoSpaceDN w:val="0"/>
        <w:spacing w:after="0"/>
        <w:rPr>
          <w:rFonts w:ascii="Arial" w:hAnsi="Arial" w:cs="Arial"/>
          <w:b/>
          <w:bCs/>
          <w:sz w:val="18"/>
          <w:szCs w:val="18"/>
        </w:rPr>
      </w:pPr>
      <w:r w:rsidRPr="0045227C">
        <w:rPr>
          <w:rFonts w:ascii="Arial" w:hAnsi="Arial" w:cs="Arial"/>
          <w:b/>
          <w:bCs/>
          <w:sz w:val="18"/>
          <w:szCs w:val="18"/>
        </w:rPr>
        <w:t>Timeframes</w:t>
      </w:r>
    </w:p>
    <w:p w14:paraId="02B2E180" w14:textId="20BD6FAD" w:rsidR="00BE0755" w:rsidRPr="0045227C" w:rsidRDefault="00BE0755" w:rsidP="00BE0755">
      <w:pPr>
        <w:autoSpaceDE w:val="0"/>
        <w:autoSpaceDN w:val="0"/>
        <w:ind w:left="720"/>
        <w:rPr>
          <w:rFonts w:ascii="Arial" w:hAnsi="Arial" w:cs="Arial"/>
          <w:sz w:val="18"/>
          <w:szCs w:val="18"/>
        </w:rPr>
      </w:pPr>
      <w:r w:rsidRPr="0045227C">
        <w:rPr>
          <w:rFonts w:ascii="Arial" w:hAnsi="Arial" w:cs="Arial"/>
          <w:sz w:val="18"/>
          <w:szCs w:val="18"/>
        </w:rPr>
        <w:t xml:space="preserve">Deployment horizon target of </w:t>
      </w:r>
      <w:r w:rsidR="005F4DC7">
        <w:rPr>
          <w:rFonts w:ascii="Arial" w:hAnsi="Arial" w:cs="Arial"/>
          <w:sz w:val="18"/>
          <w:szCs w:val="18"/>
        </w:rPr>
        <w:t>1</w:t>
      </w:r>
      <w:r w:rsidRPr="0045227C">
        <w:rPr>
          <w:rFonts w:ascii="Arial" w:hAnsi="Arial" w:cs="Arial"/>
          <w:sz w:val="18"/>
          <w:szCs w:val="18"/>
        </w:rPr>
        <w:t xml:space="preserve">2 months </w:t>
      </w:r>
      <w:r w:rsidR="005F4DC7">
        <w:rPr>
          <w:rFonts w:ascii="Arial" w:hAnsi="Arial" w:cs="Arial"/>
          <w:sz w:val="18"/>
          <w:szCs w:val="18"/>
        </w:rPr>
        <w:t xml:space="preserve">(however this can take longer) </w:t>
      </w:r>
      <w:r w:rsidRPr="0045227C">
        <w:rPr>
          <w:rFonts w:ascii="Arial" w:hAnsi="Arial" w:cs="Arial"/>
          <w:sz w:val="18"/>
          <w:szCs w:val="18"/>
        </w:rPr>
        <w:t xml:space="preserve">and target EIS3 turnaround of 3 - 4 months post </w:t>
      </w:r>
      <w:proofErr w:type="gramStart"/>
      <w:r w:rsidRPr="0045227C">
        <w:rPr>
          <w:rFonts w:ascii="Arial" w:hAnsi="Arial" w:cs="Arial"/>
          <w:sz w:val="18"/>
          <w:szCs w:val="18"/>
        </w:rPr>
        <w:t>allotment</w:t>
      </w:r>
      <w:proofErr w:type="gramEnd"/>
    </w:p>
    <w:p w14:paraId="23818F3E" w14:textId="77777777" w:rsidR="00BE0755" w:rsidRPr="0045227C" w:rsidRDefault="00BE0755" w:rsidP="00BE0755">
      <w:pPr>
        <w:autoSpaceDE w:val="0"/>
        <w:autoSpaceDN w:val="0"/>
        <w:rPr>
          <w:rFonts w:ascii="Arial" w:hAnsi="Arial" w:cs="Arial"/>
          <w:b/>
          <w:sz w:val="18"/>
          <w:szCs w:val="18"/>
          <w:u w:val="single"/>
        </w:rPr>
      </w:pPr>
    </w:p>
    <w:p w14:paraId="71BC2B20" w14:textId="27DE5C63" w:rsidR="00BE0755" w:rsidRPr="00AF3322" w:rsidRDefault="00BE0755" w:rsidP="00AF3322">
      <w:pPr>
        <w:autoSpaceDE w:val="0"/>
        <w:autoSpaceDN w:val="0"/>
        <w:rPr>
          <w:rFonts w:ascii="Arial" w:hAnsi="Arial" w:cs="Arial"/>
          <w:b/>
          <w:sz w:val="18"/>
          <w:szCs w:val="18"/>
          <w:u w:val="single"/>
        </w:rPr>
      </w:pPr>
      <w:r w:rsidRPr="00AF3322">
        <w:rPr>
          <w:rFonts w:ascii="Arial" w:hAnsi="Arial" w:cs="Arial"/>
          <w:b/>
          <w:sz w:val="18"/>
          <w:szCs w:val="18"/>
        </w:rPr>
        <w:t>The tax reliefs</w:t>
      </w:r>
    </w:p>
    <w:p w14:paraId="5EDDFFD1" w14:textId="3F6D3A0D" w:rsidR="00BE0755" w:rsidRPr="0045227C" w:rsidRDefault="00BE0755" w:rsidP="00AF3322">
      <w:pPr>
        <w:rPr>
          <w:rFonts w:ascii="Arial" w:hAnsi="Arial" w:cs="Arial"/>
          <w:sz w:val="18"/>
          <w:szCs w:val="18"/>
        </w:rPr>
      </w:pPr>
      <w:r w:rsidRPr="0045227C">
        <w:rPr>
          <w:rFonts w:ascii="Arial" w:hAnsi="Arial" w:cs="Arial"/>
          <w:sz w:val="18"/>
          <w:szCs w:val="18"/>
        </w:rPr>
        <w:t>The tax reliefs referred to in this document are those currently available and their value depends on the individual circumstances of investors. Levels, bases of, and relief from taxation are subject to change. The specific reliefs offered by the Enterprise Investment Scheme may be withdrawn or significantly altered. Such change could be retrospective. Potential investors should consult their own tax advisers before making any investments.</w:t>
      </w:r>
    </w:p>
    <w:p w14:paraId="2EABBE66" w14:textId="351D9AF0" w:rsidR="00BE0755" w:rsidRPr="0045227C" w:rsidRDefault="00BE0755" w:rsidP="00BE0755">
      <w:pPr>
        <w:autoSpaceDE w:val="0"/>
        <w:autoSpaceDN w:val="0"/>
        <w:rPr>
          <w:rFonts w:ascii="Arial" w:hAnsi="Arial" w:cs="Arial"/>
          <w:sz w:val="18"/>
          <w:szCs w:val="18"/>
        </w:rPr>
      </w:pPr>
      <w:r w:rsidRPr="0045227C">
        <w:rPr>
          <w:rFonts w:ascii="Arial" w:hAnsi="Arial" w:cs="Arial"/>
          <w:sz w:val="18"/>
          <w:szCs w:val="18"/>
        </w:rPr>
        <w:t xml:space="preserve">Tax reliefs may be claimed once an investment has been made into an EIS qualifying company and the appropriate certificate obtained. Tax relief is given by reference to the date that an investment is made through the Fund into the share capital of an EIS qualifying company (that is, not the date that an application is accepted </w:t>
      </w:r>
      <w:r w:rsidRPr="0045227C">
        <w:rPr>
          <w:rFonts w:ascii="Arial" w:hAnsi="Arial" w:cs="Arial"/>
          <w:sz w:val="18"/>
          <w:szCs w:val="18"/>
        </w:rPr>
        <w:lastRenderedPageBreak/>
        <w:t>into the Puma Alpha EIS). An EIS qualifying company must be trading for at least four months before a certificate can be applied for.</w:t>
      </w:r>
    </w:p>
    <w:p w14:paraId="62BACA93" w14:textId="30FF4C04" w:rsidR="00AF3322" w:rsidRPr="0045227C" w:rsidRDefault="00BE0755" w:rsidP="00AF3322">
      <w:pPr>
        <w:autoSpaceDE w:val="0"/>
        <w:autoSpaceDN w:val="0"/>
        <w:rPr>
          <w:rFonts w:ascii="Arial" w:hAnsi="Arial" w:cs="Arial"/>
          <w:sz w:val="18"/>
          <w:szCs w:val="18"/>
          <w:lang w:eastAsia="en-GB"/>
        </w:rPr>
      </w:pPr>
      <w:r w:rsidRPr="0045227C">
        <w:rPr>
          <w:rFonts w:ascii="Arial" w:hAnsi="Arial" w:cs="Arial"/>
          <w:sz w:val="18"/>
          <w:szCs w:val="18"/>
        </w:rPr>
        <w:t>After an investment has been made in an EIS qualifying company, and that company has been trading for a period of four months, an EIS 1 application will be made to HMRC by that company. On receipt of clearance from HMRC, the relevant company will receive an EIS3 certificate for each investor. These certificates can be used to claim income tax and capital gains deferral reliefs. Although the time taken by HMRC to grant authorisation cannot be controlled by the relevant company or Puma Investments, every effort will be made to expedite the process.</w:t>
      </w:r>
    </w:p>
    <w:p w14:paraId="27B71B96" w14:textId="5D890DF0" w:rsidR="00AF3322" w:rsidRDefault="00AF3322">
      <w:pPr>
        <w:rPr>
          <w:rFonts w:ascii="Arial" w:hAnsi="Arial" w:cs="Arial"/>
          <w:b/>
          <w:sz w:val="18"/>
          <w:szCs w:val="18"/>
        </w:rPr>
      </w:pPr>
    </w:p>
    <w:p w14:paraId="1B821E2D" w14:textId="1E93D09F" w:rsidR="00BE0755" w:rsidRPr="00AF3322" w:rsidRDefault="00BE0755" w:rsidP="00BE0755">
      <w:pPr>
        <w:rPr>
          <w:rFonts w:ascii="Arial" w:hAnsi="Arial" w:cs="Arial"/>
          <w:b/>
          <w:sz w:val="18"/>
          <w:szCs w:val="18"/>
        </w:rPr>
      </w:pPr>
      <w:r w:rsidRPr="00AF3322">
        <w:rPr>
          <w:rFonts w:ascii="Arial" w:hAnsi="Arial" w:cs="Arial"/>
          <w:b/>
          <w:sz w:val="18"/>
          <w:szCs w:val="18"/>
        </w:rPr>
        <w:t>Timescales</w:t>
      </w:r>
    </w:p>
    <w:p w14:paraId="62010C6A" w14:textId="6979838D" w:rsidR="00BE0755" w:rsidRPr="0045227C" w:rsidRDefault="00BE0755" w:rsidP="00BE0755">
      <w:pPr>
        <w:rPr>
          <w:rFonts w:ascii="Arial" w:hAnsi="Arial" w:cs="Arial"/>
          <w:sz w:val="18"/>
          <w:szCs w:val="18"/>
        </w:rPr>
      </w:pPr>
      <w:r w:rsidRPr="0045227C">
        <w:rPr>
          <w:rFonts w:ascii="Arial" w:hAnsi="Arial" w:cs="Arial"/>
          <w:sz w:val="18"/>
          <w:szCs w:val="18"/>
        </w:rPr>
        <w:t>As an evergreen fund Puma Alpha EIS is open to investors throughout the year. The Fund typically has four closings per year, usually at the end of each calendar quarter. Funds which have been received into Puma Alpha EIS by those closing dates will then be deemed as ready to invest. All investors who have sent funds to the custodian ready for that closing date will be treated as a single investor group, and it is intended that all investors in that group will gain exposure to the same portfolio companies in the same proportion.</w:t>
      </w:r>
    </w:p>
    <w:p w14:paraId="5D462469" w14:textId="77777777" w:rsidR="00BE0755" w:rsidRPr="0045227C" w:rsidRDefault="00BE0755" w:rsidP="00BE0755">
      <w:pPr>
        <w:rPr>
          <w:rFonts w:ascii="Arial" w:hAnsi="Arial" w:cs="Arial"/>
          <w:sz w:val="18"/>
          <w:szCs w:val="18"/>
        </w:rPr>
      </w:pPr>
      <w:r w:rsidRPr="0045227C">
        <w:rPr>
          <w:rFonts w:ascii="Arial" w:hAnsi="Arial" w:cs="Arial"/>
          <w:sz w:val="18"/>
          <w:szCs w:val="18"/>
        </w:rPr>
        <w:t>The process of allotting shares in portfolio companies will take place throughout the year. When a suitable investment has been found, funds will be drawn on a “first come, first served” basis, with priority given to investor groups who have been in the Fund the longest. This helps ensure that investors’ funds are placed into portfolio companies with minimum delay. This priority is subject only to the Fund’s diversification policy.</w:t>
      </w:r>
    </w:p>
    <w:p w14:paraId="66EFAB2E" w14:textId="77777777" w:rsidR="00BE0755" w:rsidRPr="0045227C" w:rsidRDefault="00BE0755" w:rsidP="00BE0755">
      <w:pPr>
        <w:rPr>
          <w:rFonts w:ascii="Arial" w:hAnsi="Arial" w:cs="Arial"/>
          <w:sz w:val="18"/>
          <w:szCs w:val="18"/>
        </w:rPr>
      </w:pPr>
    </w:p>
    <w:p w14:paraId="3BEAADFC" w14:textId="012E15F4" w:rsidR="00BE0755" w:rsidRPr="00AF3322" w:rsidRDefault="00BE0755" w:rsidP="00BE0755">
      <w:pPr>
        <w:rPr>
          <w:rFonts w:ascii="Arial" w:hAnsi="Arial" w:cs="Arial"/>
          <w:b/>
          <w:sz w:val="18"/>
          <w:szCs w:val="18"/>
        </w:rPr>
      </w:pPr>
      <w:r w:rsidRPr="00AF3322">
        <w:rPr>
          <w:rFonts w:ascii="Arial" w:hAnsi="Arial" w:cs="Arial"/>
          <w:b/>
          <w:sz w:val="18"/>
          <w:szCs w:val="18"/>
        </w:rPr>
        <w:t>Fees</w:t>
      </w:r>
    </w:p>
    <w:p w14:paraId="35BD91CE" w14:textId="720DFE50" w:rsidR="00BE0755" w:rsidRPr="00932319" w:rsidRDefault="00BE0755" w:rsidP="00932319">
      <w:pPr>
        <w:pStyle w:val="ListParagraph"/>
        <w:numPr>
          <w:ilvl w:val="0"/>
          <w:numId w:val="8"/>
        </w:numPr>
        <w:autoSpaceDE w:val="0"/>
        <w:autoSpaceDN w:val="0"/>
        <w:spacing w:after="0"/>
        <w:ind w:left="714" w:hanging="357"/>
        <w:rPr>
          <w:rFonts w:ascii="Arial" w:hAnsi="Arial" w:cs="Arial"/>
          <w:sz w:val="18"/>
          <w:szCs w:val="18"/>
        </w:rPr>
      </w:pPr>
      <w:r w:rsidRPr="0045227C">
        <w:rPr>
          <w:rFonts w:ascii="Arial" w:hAnsi="Arial" w:cs="Arial"/>
          <w:sz w:val="18"/>
          <w:szCs w:val="18"/>
        </w:rPr>
        <w:t>Initial Fee</w:t>
      </w:r>
      <w:r w:rsidR="005105B3">
        <w:rPr>
          <w:rFonts w:ascii="Arial" w:hAnsi="Arial" w:cs="Arial"/>
          <w:sz w:val="18"/>
          <w:szCs w:val="18"/>
        </w:rPr>
        <w:t>:</w:t>
      </w:r>
      <w:r w:rsidRPr="0045227C">
        <w:rPr>
          <w:rFonts w:ascii="Arial" w:hAnsi="Arial" w:cs="Arial"/>
          <w:sz w:val="18"/>
          <w:szCs w:val="18"/>
        </w:rPr>
        <w:t xml:space="preserve"> </w:t>
      </w:r>
      <w:r w:rsidR="00932319">
        <w:rPr>
          <w:rFonts w:ascii="Arial" w:hAnsi="Arial" w:cs="Arial"/>
          <w:sz w:val="18"/>
          <w:szCs w:val="18"/>
        </w:rPr>
        <w:t>3</w:t>
      </w:r>
      <w:r w:rsidRPr="0045227C">
        <w:rPr>
          <w:rFonts w:ascii="Arial" w:hAnsi="Arial" w:cs="Arial"/>
          <w:sz w:val="18"/>
          <w:szCs w:val="18"/>
        </w:rPr>
        <w:t xml:space="preserve">% of amount </w:t>
      </w:r>
      <w:r w:rsidR="00932319">
        <w:rPr>
          <w:rFonts w:ascii="Arial" w:hAnsi="Arial" w:cs="Arial"/>
          <w:sz w:val="18"/>
          <w:szCs w:val="18"/>
        </w:rPr>
        <w:t>application amount</w:t>
      </w:r>
    </w:p>
    <w:p w14:paraId="448F6454" w14:textId="77777777" w:rsidR="00BE0755" w:rsidRPr="0045227C" w:rsidRDefault="00BE0755" w:rsidP="00BE0755">
      <w:pPr>
        <w:pStyle w:val="ListParagraph"/>
        <w:rPr>
          <w:rFonts w:ascii="Arial" w:hAnsi="Arial" w:cs="Arial"/>
          <w:sz w:val="18"/>
          <w:szCs w:val="18"/>
        </w:rPr>
      </w:pPr>
    </w:p>
    <w:p w14:paraId="164A7020" w14:textId="0D43EDB6" w:rsidR="005105B3" w:rsidRDefault="00BE0755" w:rsidP="005105B3">
      <w:pPr>
        <w:pStyle w:val="ListParagraph"/>
        <w:numPr>
          <w:ilvl w:val="0"/>
          <w:numId w:val="8"/>
        </w:numPr>
        <w:rPr>
          <w:rFonts w:ascii="Arial" w:hAnsi="Arial" w:cs="Arial"/>
          <w:sz w:val="18"/>
          <w:szCs w:val="18"/>
        </w:rPr>
      </w:pPr>
      <w:r w:rsidRPr="00FB09E3">
        <w:rPr>
          <w:rFonts w:ascii="Arial" w:hAnsi="Arial" w:cs="Arial"/>
          <w:sz w:val="18"/>
          <w:szCs w:val="18"/>
        </w:rPr>
        <w:t>Annual Management Fee</w:t>
      </w:r>
      <w:r w:rsidR="005105B3">
        <w:rPr>
          <w:rFonts w:ascii="Arial" w:hAnsi="Arial" w:cs="Arial"/>
          <w:sz w:val="18"/>
          <w:szCs w:val="18"/>
        </w:rPr>
        <w:t>:</w:t>
      </w:r>
      <w:r w:rsidRPr="00FB09E3">
        <w:rPr>
          <w:rFonts w:ascii="Arial" w:hAnsi="Arial" w:cs="Arial"/>
          <w:sz w:val="18"/>
          <w:szCs w:val="18"/>
        </w:rPr>
        <w:t xml:space="preserve"> </w:t>
      </w:r>
      <w:r w:rsidR="00932319" w:rsidRPr="00FB09E3">
        <w:rPr>
          <w:rFonts w:ascii="Arial" w:hAnsi="Arial" w:cs="Arial"/>
          <w:sz w:val="18"/>
          <w:szCs w:val="18"/>
        </w:rPr>
        <w:t>2</w:t>
      </w:r>
      <w:r w:rsidRPr="00FB09E3">
        <w:rPr>
          <w:rFonts w:ascii="Arial" w:hAnsi="Arial" w:cs="Arial"/>
          <w:sz w:val="18"/>
          <w:szCs w:val="18"/>
        </w:rPr>
        <w:t xml:space="preserve">% (+ VAT) </w:t>
      </w:r>
      <w:proofErr w:type="spellStart"/>
      <w:r w:rsidRPr="00FB09E3">
        <w:rPr>
          <w:rFonts w:ascii="Arial" w:hAnsi="Arial" w:cs="Arial"/>
          <w:sz w:val="18"/>
          <w:szCs w:val="18"/>
        </w:rPr>
        <w:t>p.a</w:t>
      </w:r>
      <w:proofErr w:type="spellEnd"/>
      <w:r w:rsidR="006D0478">
        <w:rPr>
          <w:rFonts w:ascii="Arial" w:hAnsi="Arial" w:cs="Arial"/>
          <w:sz w:val="18"/>
          <w:szCs w:val="18"/>
        </w:rPr>
        <w:t xml:space="preserve"> </w:t>
      </w:r>
      <w:r w:rsidR="00FB09E3" w:rsidRPr="00FB09E3">
        <w:rPr>
          <w:rFonts w:ascii="Arial" w:hAnsi="Arial" w:cs="Arial"/>
          <w:sz w:val="18"/>
          <w:szCs w:val="18"/>
        </w:rPr>
        <w:t>of amount subscribed. Two years of</w:t>
      </w:r>
      <w:r w:rsidR="00FB09E3">
        <w:rPr>
          <w:rFonts w:ascii="Arial" w:hAnsi="Arial" w:cs="Arial"/>
          <w:sz w:val="18"/>
          <w:szCs w:val="18"/>
        </w:rPr>
        <w:t xml:space="preserve"> </w:t>
      </w:r>
      <w:r w:rsidR="00FB09E3" w:rsidRPr="00FB09E3">
        <w:rPr>
          <w:rFonts w:ascii="Arial" w:hAnsi="Arial" w:cs="Arial"/>
          <w:sz w:val="18"/>
          <w:szCs w:val="18"/>
        </w:rPr>
        <w:t>fees will be deducted from Investor's</w:t>
      </w:r>
      <w:r w:rsidR="00FB09E3">
        <w:rPr>
          <w:rFonts w:ascii="Arial" w:hAnsi="Arial" w:cs="Arial"/>
          <w:sz w:val="18"/>
          <w:szCs w:val="18"/>
        </w:rPr>
        <w:t xml:space="preserve"> </w:t>
      </w:r>
      <w:r w:rsidR="00FB09E3" w:rsidRPr="00FB09E3">
        <w:rPr>
          <w:rFonts w:ascii="Arial" w:hAnsi="Arial" w:cs="Arial"/>
          <w:sz w:val="18"/>
          <w:szCs w:val="18"/>
        </w:rPr>
        <w:t>subscription (net of the manager's initial</w:t>
      </w:r>
      <w:r w:rsidR="00FB09E3">
        <w:rPr>
          <w:rFonts w:ascii="Arial" w:hAnsi="Arial" w:cs="Arial"/>
          <w:sz w:val="18"/>
          <w:szCs w:val="18"/>
        </w:rPr>
        <w:t xml:space="preserve"> </w:t>
      </w:r>
      <w:r w:rsidR="00FB09E3" w:rsidRPr="00FB09E3">
        <w:rPr>
          <w:rFonts w:ascii="Arial" w:hAnsi="Arial" w:cs="Arial"/>
          <w:sz w:val="18"/>
          <w:szCs w:val="18"/>
        </w:rPr>
        <w:t>fee and any agreed adviser charges) and</w:t>
      </w:r>
      <w:r w:rsidR="00FB09E3">
        <w:rPr>
          <w:rFonts w:ascii="Arial" w:hAnsi="Arial" w:cs="Arial"/>
          <w:sz w:val="18"/>
          <w:szCs w:val="18"/>
        </w:rPr>
        <w:t xml:space="preserve"> </w:t>
      </w:r>
      <w:r w:rsidR="00FB09E3" w:rsidRPr="00FB09E3">
        <w:rPr>
          <w:rFonts w:ascii="Arial" w:hAnsi="Arial" w:cs="Arial"/>
          <w:sz w:val="18"/>
          <w:szCs w:val="18"/>
        </w:rPr>
        <w:t>paid to the Manager. The remaining fees</w:t>
      </w:r>
      <w:r w:rsidR="00FB09E3">
        <w:rPr>
          <w:rFonts w:ascii="Arial" w:hAnsi="Arial" w:cs="Arial"/>
          <w:sz w:val="18"/>
          <w:szCs w:val="18"/>
        </w:rPr>
        <w:t xml:space="preserve"> </w:t>
      </w:r>
      <w:r w:rsidR="00FB09E3" w:rsidRPr="00FB09E3">
        <w:rPr>
          <w:rFonts w:ascii="Arial" w:hAnsi="Arial" w:cs="Arial"/>
          <w:sz w:val="18"/>
          <w:szCs w:val="18"/>
        </w:rPr>
        <w:t>will be deducted from exit proceeds of</w:t>
      </w:r>
      <w:r w:rsidR="00FB09E3">
        <w:rPr>
          <w:rFonts w:ascii="Arial" w:hAnsi="Arial" w:cs="Arial"/>
          <w:sz w:val="18"/>
          <w:szCs w:val="18"/>
        </w:rPr>
        <w:t xml:space="preserve"> </w:t>
      </w:r>
      <w:r w:rsidR="00FB09E3" w:rsidRPr="00FB09E3">
        <w:rPr>
          <w:rFonts w:ascii="Arial" w:hAnsi="Arial" w:cs="Arial"/>
          <w:sz w:val="18"/>
          <w:szCs w:val="18"/>
        </w:rPr>
        <w:t>portfolio companies prior to distribution</w:t>
      </w:r>
      <w:r w:rsidR="005105B3">
        <w:rPr>
          <w:rFonts w:ascii="Arial" w:hAnsi="Arial" w:cs="Arial"/>
          <w:sz w:val="18"/>
          <w:szCs w:val="18"/>
        </w:rPr>
        <w:t>.</w:t>
      </w:r>
    </w:p>
    <w:p w14:paraId="40BC3911" w14:textId="77777777" w:rsidR="005105B3" w:rsidRPr="005105B3" w:rsidRDefault="005105B3" w:rsidP="005105B3">
      <w:pPr>
        <w:pStyle w:val="ListParagraph"/>
        <w:rPr>
          <w:rFonts w:ascii="Arial" w:hAnsi="Arial" w:cs="Arial"/>
          <w:sz w:val="18"/>
          <w:szCs w:val="18"/>
        </w:rPr>
      </w:pPr>
    </w:p>
    <w:p w14:paraId="4C91051F" w14:textId="77777777" w:rsidR="009B2FD7" w:rsidRPr="009B2FD7" w:rsidRDefault="00BE0755" w:rsidP="003479F8">
      <w:pPr>
        <w:pStyle w:val="ListParagraph"/>
        <w:numPr>
          <w:ilvl w:val="0"/>
          <w:numId w:val="8"/>
        </w:numPr>
        <w:rPr>
          <w:rFonts w:ascii="Arial" w:hAnsi="Arial" w:cs="Arial"/>
          <w:b/>
          <w:sz w:val="18"/>
          <w:szCs w:val="18"/>
        </w:rPr>
      </w:pPr>
      <w:r w:rsidRPr="005E724C">
        <w:rPr>
          <w:rFonts w:ascii="Arial" w:hAnsi="Arial" w:cs="Arial"/>
          <w:sz w:val="18"/>
          <w:szCs w:val="18"/>
        </w:rPr>
        <w:t>Exit performance</w:t>
      </w:r>
      <w:r w:rsidR="005105B3" w:rsidRPr="005E724C">
        <w:rPr>
          <w:rFonts w:ascii="Arial" w:hAnsi="Arial" w:cs="Arial"/>
          <w:sz w:val="18"/>
          <w:szCs w:val="18"/>
        </w:rPr>
        <w:t>:</w:t>
      </w:r>
      <w:r w:rsidRPr="005E724C">
        <w:rPr>
          <w:rFonts w:ascii="Arial" w:hAnsi="Arial" w:cs="Arial"/>
          <w:sz w:val="18"/>
          <w:szCs w:val="18"/>
        </w:rPr>
        <w:t xml:space="preserve"> </w:t>
      </w:r>
      <w:r w:rsidR="005105B3" w:rsidRPr="005E724C">
        <w:rPr>
          <w:rFonts w:ascii="Arial" w:hAnsi="Arial" w:cs="Arial"/>
          <w:color w:val="0D0D0D"/>
          <w:sz w:val="18"/>
          <w:szCs w:val="18"/>
        </w:rPr>
        <w:t>The Investment Manager is entitled to receive</w:t>
      </w:r>
      <w:r w:rsidR="005105B3" w:rsidRPr="005E724C">
        <w:rPr>
          <w:rFonts w:ascii="Arial" w:hAnsi="Arial" w:cs="Arial"/>
          <w:color w:val="0D0D0D"/>
          <w:sz w:val="18"/>
          <w:szCs w:val="18"/>
        </w:rPr>
        <w:t xml:space="preserve"> </w:t>
      </w:r>
      <w:r w:rsidR="005105B3" w:rsidRPr="005E724C">
        <w:rPr>
          <w:rFonts w:ascii="Arial" w:hAnsi="Arial" w:cs="Arial"/>
          <w:color w:val="0D0D0D"/>
          <w:sz w:val="18"/>
          <w:szCs w:val="18"/>
        </w:rPr>
        <w:t>20% of the upside value</w:t>
      </w:r>
      <w:r w:rsidR="005E724C">
        <w:rPr>
          <w:rStyle w:val="FootnoteReference"/>
          <w:rFonts w:ascii="Arial" w:hAnsi="Arial" w:cs="Arial"/>
          <w:color w:val="0D0D0D"/>
          <w:sz w:val="18"/>
          <w:szCs w:val="18"/>
        </w:rPr>
        <w:footnoteReference w:id="2"/>
      </w:r>
      <w:r w:rsidR="005105B3" w:rsidRPr="005E724C">
        <w:rPr>
          <w:rFonts w:ascii="Arial" w:hAnsi="Arial" w:cs="Arial"/>
          <w:color w:val="0D0D0D"/>
          <w:sz w:val="18"/>
          <w:szCs w:val="18"/>
        </w:rPr>
        <w:t xml:space="preserve"> created (before the</w:t>
      </w:r>
      <w:r w:rsidR="005105B3" w:rsidRPr="005E724C">
        <w:rPr>
          <w:rFonts w:ascii="Arial" w:hAnsi="Arial" w:cs="Arial"/>
          <w:color w:val="0D0D0D"/>
          <w:sz w:val="18"/>
          <w:szCs w:val="18"/>
        </w:rPr>
        <w:t xml:space="preserve"> </w:t>
      </w:r>
      <w:r w:rsidR="00423EC5" w:rsidRPr="005E724C">
        <w:rPr>
          <w:rFonts w:ascii="Arial" w:hAnsi="Arial" w:cs="Arial"/>
          <w:color w:val="0D0D0D"/>
          <w:sz w:val="18"/>
          <w:szCs w:val="18"/>
        </w:rPr>
        <w:t xml:space="preserve">ongoing annual management fee </w:t>
      </w:r>
      <w:r w:rsidR="005105B3" w:rsidRPr="005E724C">
        <w:rPr>
          <w:rFonts w:ascii="Arial" w:hAnsi="Arial" w:cs="Arial"/>
          <w:color w:val="0D0D0D"/>
          <w:sz w:val="18"/>
          <w:szCs w:val="18"/>
        </w:rPr>
        <w:t>has been collected on exit). The Manager</w:t>
      </w:r>
      <w:r w:rsidR="00423EC5" w:rsidRPr="005E724C">
        <w:rPr>
          <w:rFonts w:ascii="Arial" w:hAnsi="Arial" w:cs="Arial"/>
          <w:color w:val="0D0D0D"/>
          <w:sz w:val="18"/>
          <w:szCs w:val="18"/>
        </w:rPr>
        <w:t xml:space="preserve"> </w:t>
      </w:r>
      <w:r w:rsidR="005105B3" w:rsidRPr="005E724C">
        <w:rPr>
          <w:rFonts w:ascii="Arial" w:hAnsi="Arial" w:cs="Arial"/>
          <w:color w:val="0D0D0D"/>
          <w:sz w:val="18"/>
          <w:szCs w:val="18"/>
        </w:rPr>
        <w:t>may structure the performance fee in the form</w:t>
      </w:r>
      <w:r w:rsidR="00423EC5" w:rsidRPr="005E724C">
        <w:rPr>
          <w:rFonts w:ascii="Arial" w:hAnsi="Arial" w:cs="Arial"/>
          <w:color w:val="0D0D0D"/>
          <w:sz w:val="18"/>
          <w:szCs w:val="18"/>
        </w:rPr>
        <w:t xml:space="preserve"> </w:t>
      </w:r>
      <w:r w:rsidR="005105B3" w:rsidRPr="005E724C">
        <w:rPr>
          <w:rFonts w:ascii="Arial" w:hAnsi="Arial" w:cs="Arial"/>
          <w:color w:val="0D0D0D"/>
          <w:sz w:val="18"/>
          <w:szCs w:val="18"/>
        </w:rPr>
        <w:t>of shares of another instrument in the portfolio</w:t>
      </w:r>
      <w:r w:rsidR="00423EC5" w:rsidRPr="005E724C">
        <w:rPr>
          <w:rFonts w:ascii="Arial" w:hAnsi="Arial" w:cs="Arial"/>
          <w:color w:val="0D0D0D"/>
          <w:sz w:val="18"/>
          <w:szCs w:val="18"/>
        </w:rPr>
        <w:t xml:space="preserve"> </w:t>
      </w:r>
      <w:r w:rsidR="005105B3" w:rsidRPr="005E724C">
        <w:rPr>
          <w:rFonts w:ascii="Arial" w:hAnsi="Arial" w:cs="Arial"/>
          <w:color w:val="0D0D0D"/>
          <w:sz w:val="18"/>
          <w:szCs w:val="18"/>
        </w:rPr>
        <w:t>company subscribed for at the point of investment</w:t>
      </w:r>
      <w:r w:rsidR="00423EC5" w:rsidRPr="005E724C">
        <w:rPr>
          <w:rFonts w:ascii="Arial" w:hAnsi="Arial" w:cs="Arial"/>
          <w:color w:val="0D0D0D"/>
          <w:sz w:val="18"/>
          <w:szCs w:val="18"/>
        </w:rPr>
        <w:t xml:space="preserve"> </w:t>
      </w:r>
      <w:r w:rsidR="005105B3" w:rsidRPr="005E724C">
        <w:rPr>
          <w:rFonts w:ascii="Arial" w:hAnsi="Arial" w:cs="Arial"/>
          <w:color w:val="0D0D0D"/>
          <w:sz w:val="18"/>
          <w:szCs w:val="18"/>
        </w:rPr>
        <w:t>or during the investment period. In the event an</w:t>
      </w:r>
      <w:r w:rsidR="00423EC5" w:rsidRPr="005E724C">
        <w:rPr>
          <w:rFonts w:ascii="Arial" w:hAnsi="Arial" w:cs="Arial"/>
          <w:color w:val="0D0D0D"/>
          <w:sz w:val="18"/>
          <w:szCs w:val="18"/>
        </w:rPr>
        <w:t xml:space="preserve"> </w:t>
      </w:r>
      <w:r w:rsidR="005105B3" w:rsidRPr="005E724C">
        <w:rPr>
          <w:rFonts w:ascii="Arial" w:hAnsi="Arial" w:cs="Arial"/>
          <w:color w:val="0D0D0D"/>
          <w:sz w:val="18"/>
          <w:szCs w:val="18"/>
        </w:rPr>
        <w:t>investor does not receive a total return</w:t>
      </w:r>
      <w:r w:rsidR="005E724C">
        <w:rPr>
          <w:rStyle w:val="FootnoteReference"/>
          <w:rFonts w:ascii="Arial" w:hAnsi="Arial" w:cs="Arial"/>
          <w:color w:val="0D0D0D"/>
          <w:sz w:val="18"/>
          <w:szCs w:val="18"/>
        </w:rPr>
        <w:footnoteReference w:id="3"/>
      </w:r>
      <w:r w:rsidR="005105B3" w:rsidRPr="005E724C">
        <w:rPr>
          <w:rFonts w:ascii="Arial" w:hAnsi="Arial" w:cs="Arial"/>
          <w:color w:val="0D0D0D"/>
          <w:sz w:val="18"/>
          <w:szCs w:val="18"/>
        </w:rPr>
        <w:t xml:space="preserve"> </w:t>
      </w:r>
      <w:proofErr w:type="gramStart"/>
      <w:r w:rsidR="005105B3" w:rsidRPr="005E724C">
        <w:rPr>
          <w:rFonts w:ascii="Arial" w:hAnsi="Arial" w:cs="Arial"/>
          <w:color w:val="0D0D0D"/>
          <w:sz w:val="18"/>
          <w:szCs w:val="18"/>
        </w:rPr>
        <w:t>in excess</w:t>
      </w:r>
      <w:r w:rsidR="00423EC5" w:rsidRPr="005E724C">
        <w:rPr>
          <w:rFonts w:ascii="Arial" w:hAnsi="Arial" w:cs="Arial"/>
          <w:color w:val="0D0D0D"/>
          <w:sz w:val="18"/>
          <w:szCs w:val="18"/>
        </w:rPr>
        <w:t xml:space="preserve"> </w:t>
      </w:r>
      <w:r w:rsidR="005105B3" w:rsidRPr="005E724C">
        <w:rPr>
          <w:rFonts w:ascii="Arial" w:hAnsi="Arial" w:cs="Arial"/>
          <w:color w:val="0D0D0D"/>
          <w:sz w:val="18"/>
          <w:szCs w:val="18"/>
        </w:rPr>
        <w:t>of</w:t>
      </w:r>
      <w:proofErr w:type="gramEnd"/>
      <w:r w:rsidR="005105B3" w:rsidRPr="005E724C">
        <w:rPr>
          <w:rFonts w:ascii="Arial" w:hAnsi="Arial" w:cs="Arial"/>
          <w:color w:val="0D0D0D"/>
          <w:sz w:val="18"/>
          <w:szCs w:val="18"/>
        </w:rPr>
        <w:t xml:space="preserve"> their amount invested in the equity capital of</w:t>
      </w:r>
      <w:r w:rsidR="00423EC5" w:rsidRPr="005E724C">
        <w:rPr>
          <w:rFonts w:ascii="Arial" w:hAnsi="Arial" w:cs="Arial"/>
          <w:color w:val="0D0D0D"/>
          <w:sz w:val="18"/>
          <w:szCs w:val="18"/>
        </w:rPr>
        <w:t xml:space="preserve"> </w:t>
      </w:r>
      <w:r w:rsidR="005105B3" w:rsidRPr="005E724C">
        <w:rPr>
          <w:rFonts w:ascii="Arial" w:hAnsi="Arial" w:cs="Arial"/>
          <w:color w:val="0D0D0D"/>
          <w:sz w:val="18"/>
          <w:szCs w:val="18"/>
        </w:rPr>
        <w:t>the portfolio companies making up the investor’s</w:t>
      </w:r>
      <w:r w:rsidR="00423EC5" w:rsidRPr="005E724C">
        <w:rPr>
          <w:rFonts w:ascii="Arial" w:hAnsi="Arial" w:cs="Arial"/>
          <w:color w:val="0D0D0D"/>
          <w:sz w:val="18"/>
          <w:szCs w:val="18"/>
        </w:rPr>
        <w:t xml:space="preserve"> </w:t>
      </w:r>
      <w:r w:rsidR="005105B3" w:rsidRPr="005E724C">
        <w:rPr>
          <w:rFonts w:ascii="Arial" w:hAnsi="Arial" w:cs="Arial"/>
          <w:color w:val="0D0D0D"/>
          <w:sz w:val="18"/>
          <w:szCs w:val="18"/>
        </w:rPr>
        <w:t>portfolio, the performance fee will not be payable.</w:t>
      </w:r>
      <w:r w:rsidR="00423EC5" w:rsidRPr="005E724C">
        <w:rPr>
          <w:rFonts w:ascii="Arial" w:hAnsi="Arial" w:cs="Arial"/>
          <w:color w:val="0D0D0D"/>
          <w:sz w:val="18"/>
          <w:szCs w:val="18"/>
        </w:rPr>
        <w:t xml:space="preserve"> </w:t>
      </w:r>
    </w:p>
    <w:p w14:paraId="727E4E13" w14:textId="77777777" w:rsidR="009B2FD7" w:rsidRPr="009B2FD7" w:rsidRDefault="009B2FD7" w:rsidP="009B2FD7">
      <w:pPr>
        <w:pStyle w:val="ListParagraph"/>
        <w:rPr>
          <w:rFonts w:ascii="Arial" w:hAnsi="Arial" w:cs="Arial"/>
          <w:color w:val="0D0D0D"/>
          <w:sz w:val="18"/>
          <w:szCs w:val="18"/>
        </w:rPr>
      </w:pPr>
    </w:p>
    <w:p w14:paraId="5BA40E38" w14:textId="2291C075" w:rsidR="003549DB" w:rsidRPr="005E724C" w:rsidRDefault="005105B3" w:rsidP="003479F8">
      <w:pPr>
        <w:pStyle w:val="ListParagraph"/>
        <w:numPr>
          <w:ilvl w:val="0"/>
          <w:numId w:val="8"/>
        </w:numPr>
        <w:rPr>
          <w:rFonts w:ascii="Arial" w:hAnsi="Arial" w:cs="Arial"/>
          <w:b/>
          <w:sz w:val="18"/>
          <w:szCs w:val="18"/>
        </w:rPr>
      </w:pPr>
      <w:r w:rsidRPr="005E724C">
        <w:rPr>
          <w:rFonts w:ascii="Arial" w:hAnsi="Arial" w:cs="Arial"/>
          <w:color w:val="0D0D0D"/>
          <w:sz w:val="18"/>
          <w:szCs w:val="18"/>
        </w:rPr>
        <w:t>Please note that any follow-on investment in the Fund</w:t>
      </w:r>
      <w:r w:rsidR="00423EC5" w:rsidRPr="005E724C">
        <w:rPr>
          <w:rFonts w:ascii="Arial" w:hAnsi="Arial" w:cs="Arial"/>
          <w:color w:val="0D0D0D"/>
          <w:sz w:val="18"/>
          <w:szCs w:val="18"/>
        </w:rPr>
        <w:t xml:space="preserve"> </w:t>
      </w:r>
      <w:r w:rsidRPr="005E724C">
        <w:rPr>
          <w:rFonts w:ascii="Arial" w:hAnsi="Arial" w:cs="Arial"/>
          <w:color w:val="0D0D0D"/>
          <w:sz w:val="18"/>
          <w:szCs w:val="18"/>
        </w:rPr>
        <w:t>will be treated as a separate investment forming separate investor group.</w:t>
      </w:r>
      <w:r w:rsidR="00D0458D" w:rsidRPr="005E724C">
        <w:rPr>
          <w:rFonts w:ascii="Arial" w:hAnsi="Arial" w:cs="Arial"/>
          <w:color w:val="0D0D0D"/>
          <w:sz w:val="18"/>
          <w:szCs w:val="18"/>
        </w:rPr>
        <w:t xml:space="preserve"> </w:t>
      </w:r>
      <w:r w:rsidR="003549DB" w:rsidRPr="005E724C">
        <w:rPr>
          <w:rFonts w:ascii="Arial" w:hAnsi="Arial" w:cs="Arial"/>
          <w:b/>
          <w:sz w:val="18"/>
          <w:szCs w:val="18"/>
        </w:rPr>
        <w:br w:type="page"/>
      </w:r>
    </w:p>
    <w:p w14:paraId="67DC035C" w14:textId="45A164C7" w:rsidR="00BE0755" w:rsidRPr="00AF3322" w:rsidRDefault="00BE0755" w:rsidP="00BE0755">
      <w:pPr>
        <w:rPr>
          <w:rFonts w:ascii="Arial" w:hAnsi="Arial" w:cs="Arial"/>
          <w:sz w:val="18"/>
          <w:szCs w:val="18"/>
        </w:rPr>
      </w:pPr>
      <w:r w:rsidRPr="00AF3322">
        <w:rPr>
          <w:rFonts w:ascii="Arial" w:hAnsi="Arial" w:cs="Arial"/>
          <w:b/>
          <w:sz w:val="18"/>
          <w:szCs w:val="18"/>
        </w:rPr>
        <w:lastRenderedPageBreak/>
        <w:t>Risk warnings</w:t>
      </w:r>
    </w:p>
    <w:p w14:paraId="1FA085DE" w14:textId="294E09D4" w:rsidR="00BE0755" w:rsidRPr="0045227C" w:rsidRDefault="00BE0755" w:rsidP="00BE0755">
      <w:pPr>
        <w:rPr>
          <w:rFonts w:ascii="Arial" w:hAnsi="Arial" w:cs="Arial"/>
          <w:sz w:val="18"/>
          <w:szCs w:val="18"/>
        </w:rPr>
      </w:pPr>
      <w:r w:rsidRPr="0045227C">
        <w:rPr>
          <w:rFonts w:ascii="Arial" w:hAnsi="Arial" w:cs="Arial"/>
          <w:sz w:val="18"/>
          <w:szCs w:val="18"/>
        </w:rPr>
        <w:t xml:space="preserve">You can only invest in Puma Alpha EIS through a financial adviser who has assessed that a subscription is suitable for you. An investment in Puma Alpha EIS carries risk and you should read in full the Puma Alpha EIS Investment Details. Below are the key risks: </w:t>
      </w:r>
    </w:p>
    <w:p w14:paraId="6115D38D" w14:textId="344714F0" w:rsidR="00BE0755" w:rsidRPr="0045227C" w:rsidRDefault="00BE0755" w:rsidP="00AF3322">
      <w:pPr>
        <w:ind w:left="567"/>
        <w:rPr>
          <w:rFonts w:ascii="Arial" w:hAnsi="Arial" w:cs="Arial"/>
          <w:sz w:val="18"/>
          <w:szCs w:val="18"/>
        </w:rPr>
      </w:pPr>
      <w:r w:rsidRPr="0045227C">
        <w:rPr>
          <w:rFonts w:ascii="Arial" w:hAnsi="Arial" w:cs="Arial"/>
          <w:b/>
          <w:bCs/>
          <w:sz w:val="18"/>
          <w:szCs w:val="18"/>
        </w:rPr>
        <w:t>General:</w:t>
      </w:r>
      <w:r w:rsidRPr="0045227C">
        <w:rPr>
          <w:rFonts w:ascii="Arial" w:hAnsi="Arial" w:cs="Arial"/>
          <w:sz w:val="18"/>
          <w:szCs w:val="18"/>
        </w:rPr>
        <w:t xml:space="preserve"> Past performance is no indication of future results and share prices and their values can go down as well as up. The forecasts in the document are not a reliable guide to future performance. </w:t>
      </w:r>
    </w:p>
    <w:p w14:paraId="49D76057" w14:textId="737347E5" w:rsidR="00BE0755" w:rsidRPr="0045227C" w:rsidRDefault="00BE0755" w:rsidP="00790FF6">
      <w:pPr>
        <w:ind w:left="567"/>
        <w:rPr>
          <w:rFonts w:ascii="Arial" w:hAnsi="Arial" w:cs="Arial"/>
          <w:sz w:val="18"/>
          <w:szCs w:val="18"/>
        </w:rPr>
      </w:pPr>
      <w:r w:rsidRPr="0045227C">
        <w:rPr>
          <w:rFonts w:ascii="Arial" w:hAnsi="Arial" w:cs="Arial"/>
          <w:b/>
          <w:bCs/>
          <w:sz w:val="18"/>
          <w:szCs w:val="18"/>
        </w:rPr>
        <w:t>Capital at risk</w:t>
      </w:r>
      <w:r w:rsidRPr="0045227C">
        <w:rPr>
          <w:rFonts w:ascii="Arial" w:hAnsi="Arial" w:cs="Arial"/>
          <w:sz w:val="18"/>
          <w:szCs w:val="18"/>
        </w:rPr>
        <w:t xml:space="preserve">: An investment in Puma Alpha EIS can be viewed as high risk. Investors’ capital may be at risk and investors may get back less than their original investment. </w:t>
      </w:r>
    </w:p>
    <w:p w14:paraId="6828F2F6" w14:textId="3E7B2FF1" w:rsidR="00BE0755" w:rsidRPr="0045227C" w:rsidRDefault="00BE0755" w:rsidP="00AF3322">
      <w:pPr>
        <w:ind w:left="567"/>
        <w:rPr>
          <w:rFonts w:ascii="Arial" w:hAnsi="Arial" w:cs="Arial"/>
          <w:sz w:val="18"/>
          <w:szCs w:val="18"/>
        </w:rPr>
      </w:pPr>
      <w:r w:rsidRPr="0045227C">
        <w:rPr>
          <w:rFonts w:ascii="Arial" w:hAnsi="Arial" w:cs="Arial"/>
          <w:b/>
          <w:bCs/>
          <w:sz w:val="18"/>
          <w:szCs w:val="18"/>
        </w:rPr>
        <w:t>Tax reliefs:</w:t>
      </w:r>
      <w:r w:rsidRPr="0045227C">
        <w:rPr>
          <w:rFonts w:ascii="Arial" w:hAnsi="Arial" w:cs="Arial"/>
          <w:sz w:val="18"/>
          <w:szCs w:val="18"/>
        </w:rPr>
        <w:t xml:space="preserve"> Tax reliefs depend on individuals’ personal circumstances, minimum holding periods and may be subject to change. </w:t>
      </w:r>
    </w:p>
    <w:p w14:paraId="726E0E43" w14:textId="69D31362" w:rsidR="00BE0755" w:rsidRPr="0045227C" w:rsidRDefault="00BE0755" w:rsidP="00AF3322">
      <w:pPr>
        <w:ind w:left="567"/>
        <w:rPr>
          <w:rFonts w:ascii="Arial" w:hAnsi="Arial" w:cs="Arial"/>
          <w:sz w:val="18"/>
          <w:szCs w:val="18"/>
        </w:rPr>
      </w:pPr>
      <w:r w:rsidRPr="0045227C">
        <w:rPr>
          <w:rFonts w:ascii="Arial" w:hAnsi="Arial" w:cs="Arial"/>
          <w:b/>
          <w:bCs/>
          <w:sz w:val="18"/>
          <w:szCs w:val="18"/>
        </w:rPr>
        <w:t>Liquidity:</w:t>
      </w:r>
      <w:r w:rsidRPr="0045227C">
        <w:rPr>
          <w:rFonts w:ascii="Arial" w:hAnsi="Arial" w:cs="Arial"/>
          <w:sz w:val="18"/>
          <w:szCs w:val="18"/>
        </w:rPr>
        <w:t xml:space="preserve"> It is unlikely there will be a liquid market in the shares of the EIS portfolio companies and it may prove difficult for investors to realise their investment immediately or in full.</w:t>
      </w:r>
    </w:p>
    <w:p w14:paraId="03261681" w14:textId="77777777" w:rsidR="00BE0755" w:rsidRPr="0045227C" w:rsidRDefault="00BE0755" w:rsidP="00BE0755">
      <w:pPr>
        <w:rPr>
          <w:rFonts w:ascii="Arial" w:hAnsi="Arial" w:cs="Arial"/>
          <w:sz w:val="18"/>
          <w:szCs w:val="18"/>
        </w:rPr>
      </w:pPr>
    </w:p>
    <w:p w14:paraId="3AA72B89" w14:textId="165DB378" w:rsidR="00BE0755" w:rsidRPr="00AF3322" w:rsidRDefault="00BE0755" w:rsidP="00BE0755">
      <w:pPr>
        <w:autoSpaceDE w:val="0"/>
        <w:autoSpaceDN w:val="0"/>
        <w:adjustRightInd w:val="0"/>
        <w:jc w:val="both"/>
        <w:rPr>
          <w:rFonts w:ascii="Arial" w:hAnsi="Arial" w:cs="Arial"/>
          <w:b/>
          <w:bCs/>
          <w:sz w:val="18"/>
          <w:szCs w:val="18"/>
        </w:rPr>
      </w:pPr>
      <w:r w:rsidRPr="00AF3322">
        <w:rPr>
          <w:rFonts w:ascii="Arial" w:hAnsi="Arial" w:cs="Arial"/>
          <w:b/>
          <w:bCs/>
          <w:sz w:val="18"/>
          <w:szCs w:val="18"/>
        </w:rPr>
        <w:t>Disclaimer</w:t>
      </w:r>
    </w:p>
    <w:p w14:paraId="76FADA3B" w14:textId="1A1D4E71" w:rsidR="00BE0755" w:rsidRPr="00C92705" w:rsidRDefault="00BE0755" w:rsidP="00BE0755">
      <w:pPr>
        <w:rPr>
          <w:rFonts w:ascii="Arial" w:hAnsi="Arial" w:cs="Arial"/>
          <w:iCs/>
          <w:sz w:val="18"/>
          <w:szCs w:val="18"/>
        </w:rPr>
      </w:pPr>
      <w:r w:rsidRPr="00C92705">
        <w:rPr>
          <w:rFonts w:ascii="Arial" w:hAnsi="Arial" w:cs="Arial"/>
          <w:iCs/>
          <w:sz w:val="18"/>
          <w:szCs w:val="18"/>
        </w:rPr>
        <w:t>Investment in Puma Alpha EIS carries risk and prospective investors should review the section headed “risk factors” in the relevant Investment Details and Investor Agreement.</w:t>
      </w:r>
    </w:p>
    <w:p w14:paraId="71420247" w14:textId="1A393E16" w:rsidR="00BE0755" w:rsidRPr="00C92705" w:rsidRDefault="00BE0755" w:rsidP="00BE0755">
      <w:pPr>
        <w:rPr>
          <w:rFonts w:ascii="Arial" w:hAnsi="Arial" w:cs="Arial"/>
          <w:iCs/>
          <w:sz w:val="18"/>
          <w:szCs w:val="18"/>
        </w:rPr>
      </w:pPr>
      <w:r w:rsidRPr="00C92705">
        <w:rPr>
          <w:rFonts w:ascii="Arial" w:hAnsi="Arial" w:cs="Arial"/>
          <w:iCs/>
          <w:sz w:val="18"/>
          <w:szCs w:val="18"/>
        </w:rPr>
        <w:t xml:space="preserve">This document is directed at investment professionals only and is an exempt financial promotion not subject to section 21 of the Financial Services and Markets Act 2000. Persons who are not investment professionals should not rely on this document. </w:t>
      </w:r>
    </w:p>
    <w:p w14:paraId="16DF2449" w14:textId="111F3707" w:rsidR="00BE0755" w:rsidRPr="00C92705" w:rsidRDefault="00BE0755" w:rsidP="00BE0755">
      <w:pPr>
        <w:rPr>
          <w:rFonts w:ascii="Arial" w:hAnsi="Arial" w:cs="Arial"/>
          <w:iCs/>
          <w:sz w:val="18"/>
          <w:szCs w:val="18"/>
        </w:rPr>
      </w:pPr>
      <w:r w:rsidRPr="00C92705">
        <w:rPr>
          <w:rFonts w:ascii="Arial" w:hAnsi="Arial" w:cs="Arial"/>
          <w:iCs/>
          <w:sz w:val="18"/>
          <w:szCs w:val="18"/>
        </w:rPr>
        <w:t>This document does not constitute or form any part of any offer or invitation to sell or issue or purchase or subscribe for any shares and is a not a prospectus prepared in accordance with the Prospectus Rules of the Financial Conduct Authority (FCA). This document does not constitute a research recommendation or a personal recommendation in accordance with FCA rules. Before investing in Puma Alpha EIS, investors should read in detail the Investment Details and Investor Agreement documents. Puma Investments (FCA no. 590919) is authorised and regulated by the FCA with a registered address of Cassini House, 57 St James’s Street, London SW1A 1LD.</w:t>
      </w:r>
    </w:p>
    <w:p w14:paraId="0706FDAE" w14:textId="3A97CA82" w:rsidR="00BE0755" w:rsidRPr="00C92705" w:rsidRDefault="00BE0755" w:rsidP="00BE0755">
      <w:pPr>
        <w:rPr>
          <w:rFonts w:ascii="Arial" w:hAnsi="Arial" w:cs="Arial"/>
          <w:iCs/>
          <w:sz w:val="18"/>
          <w:szCs w:val="18"/>
        </w:rPr>
      </w:pPr>
      <w:r w:rsidRPr="00C92705">
        <w:rPr>
          <w:rFonts w:ascii="Arial" w:hAnsi="Arial" w:cs="Arial"/>
          <w:iCs/>
          <w:sz w:val="18"/>
          <w:szCs w:val="18"/>
        </w:rPr>
        <w:t xml:space="preserve">This document is provided to recipients on the basis that they keep confidential any information contained within it or otherwise made available, whether orally or in writing, in connection with Puma Investments or otherwise. </w:t>
      </w:r>
    </w:p>
    <w:p w14:paraId="323EA546" w14:textId="77777777" w:rsidR="00BE0755" w:rsidRPr="00C92705" w:rsidRDefault="00BE0755" w:rsidP="00BE0755">
      <w:pPr>
        <w:rPr>
          <w:rFonts w:ascii="Arial" w:hAnsi="Arial" w:cs="Arial"/>
          <w:iCs/>
          <w:sz w:val="18"/>
          <w:szCs w:val="18"/>
        </w:rPr>
      </w:pPr>
      <w:r w:rsidRPr="00C92705">
        <w:rPr>
          <w:rFonts w:ascii="Arial" w:hAnsi="Arial" w:cs="Arial"/>
          <w:iCs/>
          <w:sz w:val="18"/>
          <w:szCs w:val="18"/>
        </w:rPr>
        <w:t xml:space="preserve">Certain information contained herein is based on information from third-party sources. While such sources are believed to be reliable, no independent verification of such data has been undertaken. Although Puma Investments has taken care to ensure that the information in this document is accurate and complete, Puma Investments and its affiliates, directors and employees assume no responsibility or liability whatsoever for the accuracy or completeness of the information or for any direct, </w:t>
      </w:r>
      <w:proofErr w:type="gramStart"/>
      <w:r w:rsidRPr="00C92705">
        <w:rPr>
          <w:rFonts w:ascii="Arial" w:hAnsi="Arial" w:cs="Arial"/>
          <w:iCs/>
          <w:sz w:val="18"/>
          <w:szCs w:val="18"/>
        </w:rPr>
        <w:t>indirect</w:t>
      </w:r>
      <w:proofErr w:type="gramEnd"/>
      <w:r w:rsidRPr="00C92705">
        <w:rPr>
          <w:rFonts w:ascii="Arial" w:hAnsi="Arial" w:cs="Arial"/>
          <w:iCs/>
          <w:sz w:val="18"/>
          <w:szCs w:val="18"/>
        </w:rPr>
        <w:t xml:space="preserve"> or consequential loss or damage howsoever arising. (This does not affect any liability owed under FCA rules). Any facts or statements in this document should not be relied upon. Neither Puma Investments nor any of its respective affiliates assume any responsibility to update any of the information provided.       </w:t>
      </w:r>
    </w:p>
    <w:p w14:paraId="28573696" w14:textId="77777777" w:rsidR="00BE0755" w:rsidRPr="0045227C" w:rsidRDefault="00BE0755" w:rsidP="00BE0755">
      <w:pPr>
        <w:rPr>
          <w:rFonts w:ascii="Arial" w:hAnsi="Arial" w:cs="Arial"/>
          <w:i/>
          <w:sz w:val="18"/>
          <w:szCs w:val="18"/>
        </w:rPr>
      </w:pPr>
    </w:p>
    <w:p w14:paraId="34D5EF43" w14:textId="7C72CBEC" w:rsidR="00BE0755" w:rsidRPr="00AF3322" w:rsidRDefault="00BE0755" w:rsidP="00BE0755">
      <w:pPr>
        <w:rPr>
          <w:rFonts w:ascii="Arial" w:hAnsi="Arial" w:cs="Arial"/>
          <w:b/>
          <w:bCs/>
          <w:iCs/>
          <w:sz w:val="18"/>
          <w:szCs w:val="18"/>
        </w:rPr>
      </w:pPr>
      <w:r w:rsidRPr="00AF3322">
        <w:rPr>
          <w:rFonts w:ascii="Arial" w:hAnsi="Arial" w:cs="Arial"/>
          <w:b/>
          <w:bCs/>
          <w:iCs/>
          <w:sz w:val="18"/>
          <w:szCs w:val="18"/>
        </w:rPr>
        <w:t xml:space="preserve">Date </w:t>
      </w:r>
      <w:r w:rsidR="00AF3322">
        <w:rPr>
          <w:rFonts w:ascii="Arial" w:hAnsi="Arial" w:cs="Arial"/>
          <w:b/>
          <w:bCs/>
          <w:iCs/>
          <w:sz w:val="18"/>
          <w:szCs w:val="18"/>
        </w:rPr>
        <w:t>p</w:t>
      </w:r>
      <w:r w:rsidRPr="00AF3322">
        <w:rPr>
          <w:rFonts w:ascii="Arial" w:hAnsi="Arial" w:cs="Arial"/>
          <w:b/>
          <w:bCs/>
          <w:iCs/>
          <w:sz w:val="18"/>
          <w:szCs w:val="18"/>
        </w:rPr>
        <w:t xml:space="preserve">ublished: </w:t>
      </w:r>
      <w:r w:rsidR="00D0458D">
        <w:rPr>
          <w:rFonts w:ascii="Arial" w:hAnsi="Arial" w:cs="Arial"/>
          <w:b/>
          <w:bCs/>
          <w:iCs/>
          <w:sz w:val="18"/>
          <w:szCs w:val="18"/>
        </w:rPr>
        <w:t>October</w:t>
      </w:r>
      <w:r w:rsidRPr="00AF3322">
        <w:rPr>
          <w:rFonts w:ascii="Arial" w:hAnsi="Arial" w:cs="Arial"/>
          <w:b/>
          <w:bCs/>
          <w:iCs/>
          <w:sz w:val="18"/>
          <w:szCs w:val="18"/>
        </w:rPr>
        <w:t xml:space="preserve"> 2023</w:t>
      </w:r>
    </w:p>
    <w:p w14:paraId="35309384" w14:textId="77777777" w:rsidR="0089502F" w:rsidRPr="0045227C" w:rsidRDefault="0089502F" w:rsidP="00BE0755">
      <w:pPr>
        <w:spacing w:after="0"/>
        <w:rPr>
          <w:rFonts w:ascii="Arial" w:hAnsi="Arial" w:cs="Arial"/>
          <w:bCs/>
          <w:sz w:val="18"/>
          <w:szCs w:val="18"/>
        </w:rPr>
      </w:pPr>
    </w:p>
    <w:sectPr w:rsidR="0089502F" w:rsidRPr="0045227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2E73" w14:textId="77777777" w:rsidR="004E3492" w:rsidRDefault="004E3492" w:rsidP="00462431">
      <w:pPr>
        <w:spacing w:after="0" w:line="240" w:lineRule="auto"/>
      </w:pPr>
      <w:r>
        <w:separator/>
      </w:r>
    </w:p>
  </w:endnote>
  <w:endnote w:type="continuationSeparator" w:id="0">
    <w:p w14:paraId="1A18B430" w14:textId="77777777" w:rsidR="004E3492" w:rsidRDefault="004E3492" w:rsidP="00462431">
      <w:pPr>
        <w:spacing w:after="0" w:line="240" w:lineRule="auto"/>
      </w:pPr>
      <w:r>
        <w:continuationSeparator/>
      </w:r>
    </w:p>
  </w:endnote>
  <w:endnote w:type="continuationNotice" w:id="1">
    <w:p w14:paraId="6D991303" w14:textId="77777777" w:rsidR="004E3492" w:rsidRDefault="004E34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3A1C" w14:textId="77777777" w:rsidR="00407028" w:rsidRPr="003F2A49" w:rsidRDefault="00407028" w:rsidP="003F2A49">
    <w:pPr>
      <w:spacing w:after="0" w:line="240" w:lineRule="auto"/>
      <w:jc w:val="both"/>
      <w:rPr>
        <w:rFonts w:cstheme="minorHAnsi"/>
        <w:color w:val="0000FF"/>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8202" w14:textId="77777777" w:rsidR="004E3492" w:rsidRDefault="004E3492" w:rsidP="00462431">
      <w:pPr>
        <w:spacing w:after="0" w:line="240" w:lineRule="auto"/>
      </w:pPr>
      <w:r>
        <w:separator/>
      </w:r>
    </w:p>
  </w:footnote>
  <w:footnote w:type="continuationSeparator" w:id="0">
    <w:p w14:paraId="002A7169" w14:textId="77777777" w:rsidR="004E3492" w:rsidRDefault="004E3492" w:rsidP="00462431">
      <w:pPr>
        <w:spacing w:after="0" w:line="240" w:lineRule="auto"/>
      </w:pPr>
      <w:r>
        <w:continuationSeparator/>
      </w:r>
    </w:p>
  </w:footnote>
  <w:footnote w:type="continuationNotice" w:id="1">
    <w:p w14:paraId="74B81A27" w14:textId="77777777" w:rsidR="004E3492" w:rsidRDefault="004E3492">
      <w:pPr>
        <w:spacing w:after="0" w:line="240" w:lineRule="auto"/>
      </w:pPr>
    </w:p>
  </w:footnote>
  <w:footnote w:id="2">
    <w:p w14:paraId="25DFA67E" w14:textId="33D064CC" w:rsidR="005E724C" w:rsidRPr="009B2FD7" w:rsidRDefault="005E724C">
      <w:pPr>
        <w:pStyle w:val="FootnoteText"/>
        <w:rPr>
          <w:sz w:val="16"/>
          <w:szCs w:val="16"/>
        </w:rPr>
      </w:pPr>
      <w:r w:rsidRPr="009B2FD7">
        <w:rPr>
          <w:rStyle w:val="FootnoteReference"/>
          <w:sz w:val="16"/>
          <w:szCs w:val="16"/>
        </w:rPr>
        <w:footnoteRef/>
      </w:r>
      <w:r w:rsidRPr="009B2FD7">
        <w:rPr>
          <w:sz w:val="16"/>
          <w:szCs w:val="16"/>
        </w:rPr>
        <w:t xml:space="preserve"> </w:t>
      </w:r>
      <w:r w:rsidRPr="009B2FD7">
        <w:rPr>
          <w:rFonts w:ascii="Arial" w:hAnsi="Arial" w:cs="Arial"/>
          <w:color w:val="0D0D0D"/>
          <w:sz w:val="16"/>
          <w:szCs w:val="16"/>
        </w:rPr>
        <w:t xml:space="preserve">Upside value is equal to the total return received by the investor </w:t>
      </w:r>
      <w:proofErr w:type="gramStart"/>
      <w:r w:rsidRPr="009B2FD7">
        <w:rPr>
          <w:rFonts w:ascii="Arial" w:hAnsi="Arial" w:cs="Arial"/>
          <w:color w:val="0D0D0D"/>
          <w:sz w:val="16"/>
          <w:szCs w:val="16"/>
        </w:rPr>
        <w:t>in excess of</w:t>
      </w:r>
      <w:proofErr w:type="gramEnd"/>
      <w:r w:rsidRPr="009B2FD7">
        <w:rPr>
          <w:rFonts w:ascii="Arial" w:hAnsi="Arial" w:cs="Arial"/>
          <w:color w:val="0D0D0D"/>
          <w:sz w:val="16"/>
          <w:szCs w:val="16"/>
        </w:rPr>
        <w:t xml:space="preserve"> the amount invested in the portfolio company’s share.</w:t>
      </w:r>
    </w:p>
  </w:footnote>
  <w:footnote w:id="3">
    <w:p w14:paraId="409D031B" w14:textId="6C915A71" w:rsidR="005E724C" w:rsidRPr="009B2FD7" w:rsidRDefault="005E724C" w:rsidP="009B2FD7">
      <w:pPr>
        <w:rPr>
          <w:rFonts w:ascii="Arial" w:hAnsi="Arial" w:cs="Arial"/>
          <w:sz w:val="18"/>
          <w:szCs w:val="18"/>
        </w:rPr>
      </w:pPr>
      <w:r w:rsidRPr="009B2FD7">
        <w:rPr>
          <w:rStyle w:val="FootnoteReference"/>
          <w:sz w:val="16"/>
          <w:szCs w:val="16"/>
        </w:rPr>
        <w:footnoteRef/>
      </w:r>
      <w:r w:rsidRPr="009B2FD7">
        <w:rPr>
          <w:sz w:val="16"/>
          <w:szCs w:val="16"/>
        </w:rPr>
        <w:t xml:space="preserve"> </w:t>
      </w:r>
      <w:r w:rsidR="009B2FD7" w:rsidRPr="009B2FD7">
        <w:rPr>
          <w:rFonts w:ascii="Arial" w:hAnsi="Arial" w:cs="Arial"/>
          <w:color w:val="0D0D0D"/>
          <w:sz w:val="16"/>
          <w:szCs w:val="16"/>
        </w:rPr>
        <w:t xml:space="preserve">Total return is the total value received by the investor inclusive of, among other things, dividends and value received on the sale of equity or </w:t>
      </w:r>
      <w:proofErr w:type="gramStart"/>
      <w:r w:rsidR="009B2FD7" w:rsidRPr="009B2FD7">
        <w:rPr>
          <w:rFonts w:ascii="Arial" w:hAnsi="Arial" w:cs="Arial"/>
          <w:color w:val="0D0D0D"/>
          <w:sz w:val="16"/>
          <w:szCs w:val="16"/>
        </w:rPr>
        <w:t>other</w:t>
      </w:r>
      <w:proofErr w:type="gramEnd"/>
      <w:r w:rsidR="009B2FD7" w:rsidRPr="009B2FD7">
        <w:rPr>
          <w:rFonts w:ascii="Arial" w:hAnsi="Arial" w:cs="Arial"/>
          <w:color w:val="0D0D0D"/>
          <w:sz w:val="16"/>
          <w:szCs w:val="16"/>
        </w:rPr>
        <w:t xml:space="preserve"> similar exit event (before the AMC has been collected).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B66" w14:textId="0882B3F2" w:rsidR="00407028" w:rsidRPr="005352A4" w:rsidRDefault="000030A5" w:rsidP="00127485">
    <w:pPr>
      <w:pStyle w:val="Header"/>
      <w:jc w:val="right"/>
      <w:rPr>
        <w:b/>
      </w:rPr>
    </w:pPr>
    <w:r>
      <w:rPr>
        <w:rFonts w:ascii="Arial" w:hAnsi="Arial" w:cs="Arial"/>
        <w:noProof/>
        <w:sz w:val="20"/>
        <w:szCs w:val="20"/>
      </w:rPr>
      <w:drawing>
        <wp:anchor distT="0" distB="0" distL="114300" distR="114300" simplePos="0" relativeHeight="251658240" behindDoc="0" locked="0" layoutInCell="1" allowOverlap="0" wp14:anchorId="791023AD" wp14:editId="615443FD">
          <wp:simplePos x="0" y="0"/>
          <wp:positionH relativeFrom="column">
            <wp:posOffset>3514725</wp:posOffset>
          </wp:positionH>
          <wp:positionV relativeFrom="paragraph">
            <wp:posOffset>7620</wp:posOffset>
          </wp:positionV>
          <wp:extent cx="2361600" cy="997200"/>
          <wp:effectExtent l="0" t="0" r="635" b="0"/>
          <wp:wrapThrough wrapText="bothSides">
            <wp:wrapPolygon edited="0">
              <wp:start x="0" y="0"/>
              <wp:lineTo x="0" y="21050"/>
              <wp:lineTo x="21432" y="21050"/>
              <wp:lineTo x="21432" y="0"/>
              <wp:lineTo x="0" y="0"/>
            </wp:wrapPolygon>
          </wp:wrapThrough>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2319" r="10012" b="16177"/>
                  <a:stretch/>
                </pic:blipFill>
                <pic:spPr bwMode="auto">
                  <a:xfrm>
                    <a:off x="0" y="0"/>
                    <a:ext cx="2361600" cy="99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EF299C" w14:textId="77777777" w:rsidR="00127485" w:rsidRDefault="00127485" w:rsidP="00127485">
    <w:pPr>
      <w:pStyle w:val="Header"/>
      <w:jc w:val="center"/>
      <w:rPr>
        <w:b/>
      </w:rPr>
    </w:pPr>
  </w:p>
  <w:p w14:paraId="44164950" w14:textId="77777777" w:rsidR="00127485" w:rsidRDefault="00127485" w:rsidP="00127485">
    <w:pPr>
      <w:pStyle w:val="Header"/>
      <w:jc w:val="center"/>
      <w:rPr>
        <w:b/>
      </w:rPr>
    </w:pPr>
  </w:p>
  <w:p w14:paraId="5312927C" w14:textId="77777777" w:rsidR="00127485" w:rsidRDefault="00127485" w:rsidP="00127485">
    <w:pPr>
      <w:pStyle w:val="Header"/>
      <w:jc w:val="center"/>
      <w:rPr>
        <w:b/>
      </w:rPr>
    </w:pPr>
  </w:p>
  <w:p w14:paraId="095B802E" w14:textId="77777777" w:rsidR="00127485" w:rsidRDefault="00127485" w:rsidP="00127485">
    <w:pPr>
      <w:pStyle w:val="Header"/>
      <w:jc w:val="center"/>
      <w:rPr>
        <w:b/>
      </w:rPr>
    </w:pPr>
  </w:p>
  <w:p w14:paraId="7D03AD23" w14:textId="77777777" w:rsidR="00127485" w:rsidRDefault="00127485" w:rsidP="00D136A7">
    <w:pPr>
      <w:pStyle w:val="Header"/>
      <w:rPr>
        <w:b/>
      </w:rPr>
    </w:pPr>
  </w:p>
  <w:p w14:paraId="616B78EF" w14:textId="77777777" w:rsidR="00407028" w:rsidRDefault="00407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AF4"/>
    <w:multiLevelType w:val="hybridMultilevel"/>
    <w:tmpl w:val="ED3CAD66"/>
    <w:lvl w:ilvl="0" w:tplc="08090001">
      <w:start w:val="1"/>
      <w:numFmt w:val="bullet"/>
      <w:lvlText w:val=""/>
      <w:lvlJc w:val="left"/>
      <w:pPr>
        <w:ind w:left="720" w:hanging="360"/>
      </w:pPr>
      <w:rPr>
        <w:rFonts w:ascii="Symbol" w:hAnsi="Symbol" w:hint="default"/>
      </w:rPr>
    </w:lvl>
    <w:lvl w:ilvl="1" w:tplc="AAF4C2C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023E"/>
    <w:multiLevelType w:val="hybridMultilevel"/>
    <w:tmpl w:val="33628030"/>
    <w:lvl w:ilvl="0" w:tplc="EF6EE5DE">
      <w:numFmt w:val="bullet"/>
      <w:lvlText w:val="•"/>
      <w:lvlJc w:val="left"/>
      <w:pPr>
        <w:ind w:left="720" w:hanging="36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81A59"/>
    <w:multiLevelType w:val="hybridMultilevel"/>
    <w:tmpl w:val="DA5A627C"/>
    <w:lvl w:ilvl="0" w:tplc="8A8469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D1EF4"/>
    <w:multiLevelType w:val="hybridMultilevel"/>
    <w:tmpl w:val="4266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92074"/>
    <w:multiLevelType w:val="hybridMultilevel"/>
    <w:tmpl w:val="7DA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968A5"/>
    <w:multiLevelType w:val="hybridMultilevel"/>
    <w:tmpl w:val="A46E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57E81"/>
    <w:multiLevelType w:val="hybridMultilevel"/>
    <w:tmpl w:val="041C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65007"/>
    <w:multiLevelType w:val="hybridMultilevel"/>
    <w:tmpl w:val="E56A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86CA5"/>
    <w:multiLevelType w:val="hybridMultilevel"/>
    <w:tmpl w:val="98F6C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91593A"/>
    <w:multiLevelType w:val="hybridMultilevel"/>
    <w:tmpl w:val="7BACD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E404CB"/>
    <w:multiLevelType w:val="hybridMultilevel"/>
    <w:tmpl w:val="3FB2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851CE4"/>
    <w:multiLevelType w:val="hybridMultilevel"/>
    <w:tmpl w:val="22CE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6392750">
    <w:abstractNumId w:val="2"/>
  </w:num>
  <w:num w:numId="2" w16cid:durableId="1902985662">
    <w:abstractNumId w:val="11"/>
  </w:num>
  <w:num w:numId="3" w16cid:durableId="602110938">
    <w:abstractNumId w:val="4"/>
  </w:num>
  <w:num w:numId="4" w16cid:durableId="1844198519">
    <w:abstractNumId w:val="8"/>
  </w:num>
  <w:num w:numId="5" w16cid:durableId="557476581">
    <w:abstractNumId w:val="7"/>
  </w:num>
  <w:num w:numId="6" w16cid:durableId="798035422">
    <w:abstractNumId w:val="1"/>
  </w:num>
  <w:num w:numId="7" w16cid:durableId="1056051265">
    <w:abstractNumId w:val="0"/>
  </w:num>
  <w:num w:numId="8" w16cid:durableId="169758220">
    <w:abstractNumId w:val="10"/>
  </w:num>
  <w:num w:numId="9" w16cid:durableId="1590121615">
    <w:abstractNumId w:val="5"/>
  </w:num>
  <w:num w:numId="10" w16cid:durableId="1168406312">
    <w:abstractNumId w:val="6"/>
  </w:num>
  <w:num w:numId="11" w16cid:durableId="32578627">
    <w:abstractNumId w:val="9"/>
  </w:num>
  <w:num w:numId="12" w16cid:durableId="18840570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5BE"/>
    <w:rsid w:val="000030A5"/>
    <w:rsid w:val="00003CB2"/>
    <w:rsid w:val="000176F0"/>
    <w:rsid w:val="00023FB3"/>
    <w:rsid w:val="000306DA"/>
    <w:rsid w:val="0003116F"/>
    <w:rsid w:val="00046C8F"/>
    <w:rsid w:val="00056302"/>
    <w:rsid w:val="00060661"/>
    <w:rsid w:val="000658D2"/>
    <w:rsid w:val="000765E4"/>
    <w:rsid w:val="000878C1"/>
    <w:rsid w:val="000A2653"/>
    <w:rsid w:val="000A660A"/>
    <w:rsid w:val="000B3B5F"/>
    <w:rsid w:val="000C0AA6"/>
    <w:rsid w:val="000C2C9C"/>
    <w:rsid w:val="000F389F"/>
    <w:rsid w:val="000F4DA4"/>
    <w:rsid w:val="00110E14"/>
    <w:rsid w:val="0011368C"/>
    <w:rsid w:val="00114E94"/>
    <w:rsid w:val="00116C18"/>
    <w:rsid w:val="00122DEE"/>
    <w:rsid w:val="001265BE"/>
    <w:rsid w:val="00126A71"/>
    <w:rsid w:val="00127485"/>
    <w:rsid w:val="00130098"/>
    <w:rsid w:val="00135FEC"/>
    <w:rsid w:val="00140EEE"/>
    <w:rsid w:val="00142971"/>
    <w:rsid w:val="001554A7"/>
    <w:rsid w:val="00175B91"/>
    <w:rsid w:val="00176486"/>
    <w:rsid w:val="00182524"/>
    <w:rsid w:val="001B0BD6"/>
    <w:rsid w:val="001C41DB"/>
    <w:rsid w:val="001C6EF5"/>
    <w:rsid w:val="001C6F86"/>
    <w:rsid w:val="001D2FF3"/>
    <w:rsid w:val="001E0F94"/>
    <w:rsid w:val="001F652A"/>
    <w:rsid w:val="00206D3F"/>
    <w:rsid w:val="002205BD"/>
    <w:rsid w:val="002257A0"/>
    <w:rsid w:val="002277CF"/>
    <w:rsid w:val="00232807"/>
    <w:rsid w:val="002363D3"/>
    <w:rsid w:val="002422B1"/>
    <w:rsid w:val="00246F2C"/>
    <w:rsid w:val="002511B8"/>
    <w:rsid w:val="002545CB"/>
    <w:rsid w:val="002656F8"/>
    <w:rsid w:val="00292E3D"/>
    <w:rsid w:val="00293AA5"/>
    <w:rsid w:val="002A32CB"/>
    <w:rsid w:val="002B0FB6"/>
    <w:rsid w:val="002B1327"/>
    <w:rsid w:val="002B1788"/>
    <w:rsid w:val="002B6822"/>
    <w:rsid w:val="002C302A"/>
    <w:rsid w:val="002C3AE1"/>
    <w:rsid w:val="002C41B0"/>
    <w:rsid w:val="002C44EB"/>
    <w:rsid w:val="002D1156"/>
    <w:rsid w:val="002D5C08"/>
    <w:rsid w:val="002E388B"/>
    <w:rsid w:val="00310FE5"/>
    <w:rsid w:val="00325DA8"/>
    <w:rsid w:val="00333AC3"/>
    <w:rsid w:val="00337031"/>
    <w:rsid w:val="00337A64"/>
    <w:rsid w:val="00344925"/>
    <w:rsid w:val="003549DB"/>
    <w:rsid w:val="00355D4D"/>
    <w:rsid w:val="00357ACC"/>
    <w:rsid w:val="00357EDF"/>
    <w:rsid w:val="00391C45"/>
    <w:rsid w:val="003A016F"/>
    <w:rsid w:val="003A0D66"/>
    <w:rsid w:val="003A3447"/>
    <w:rsid w:val="003A348C"/>
    <w:rsid w:val="003A64E7"/>
    <w:rsid w:val="003B60B4"/>
    <w:rsid w:val="003D2980"/>
    <w:rsid w:val="003D6DD0"/>
    <w:rsid w:val="003D7882"/>
    <w:rsid w:val="003D7F50"/>
    <w:rsid w:val="003E1858"/>
    <w:rsid w:val="003E70B1"/>
    <w:rsid w:val="003F2A49"/>
    <w:rsid w:val="003F5EA0"/>
    <w:rsid w:val="003F640A"/>
    <w:rsid w:val="003F6AA1"/>
    <w:rsid w:val="00407028"/>
    <w:rsid w:val="00423751"/>
    <w:rsid w:val="00423EC5"/>
    <w:rsid w:val="00424160"/>
    <w:rsid w:val="00435B7A"/>
    <w:rsid w:val="00437001"/>
    <w:rsid w:val="00441F71"/>
    <w:rsid w:val="00444778"/>
    <w:rsid w:val="00445C85"/>
    <w:rsid w:val="0045227C"/>
    <w:rsid w:val="00462431"/>
    <w:rsid w:val="00463A8D"/>
    <w:rsid w:val="00477900"/>
    <w:rsid w:val="00477CED"/>
    <w:rsid w:val="004830D8"/>
    <w:rsid w:val="00484853"/>
    <w:rsid w:val="00497480"/>
    <w:rsid w:val="004A00C3"/>
    <w:rsid w:val="004B1C4F"/>
    <w:rsid w:val="004B1CA0"/>
    <w:rsid w:val="004B5A14"/>
    <w:rsid w:val="004C3D61"/>
    <w:rsid w:val="004E3492"/>
    <w:rsid w:val="004F0990"/>
    <w:rsid w:val="004F1189"/>
    <w:rsid w:val="004F45F6"/>
    <w:rsid w:val="0050483E"/>
    <w:rsid w:val="00505963"/>
    <w:rsid w:val="005105B3"/>
    <w:rsid w:val="00512421"/>
    <w:rsid w:val="00570059"/>
    <w:rsid w:val="00573137"/>
    <w:rsid w:val="00573574"/>
    <w:rsid w:val="00592AF4"/>
    <w:rsid w:val="00597D3C"/>
    <w:rsid w:val="005A59CC"/>
    <w:rsid w:val="005B2185"/>
    <w:rsid w:val="005B3DAC"/>
    <w:rsid w:val="005C1DA7"/>
    <w:rsid w:val="005C5813"/>
    <w:rsid w:val="005E068C"/>
    <w:rsid w:val="005E32F9"/>
    <w:rsid w:val="005E724C"/>
    <w:rsid w:val="005F4DC7"/>
    <w:rsid w:val="00614FCA"/>
    <w:rsid w:val="00623E8F"/>
    <w:rsid w:val="00634E11"/>
    <w:rsid w:val="00642246"/>
    <w:rsid w:val="006528C9"/>
    <w:rsid w:val="00654838"/>
    <w:rsid w:val="00660441"/>
    <w:rsid w:val="0066698A"/>
    <w:rsid w:val="00680920"/>
    <w:rsid w:val="00682494"/>
    <w:rsid w:val="006953BE"/>
    <w:rsid w:val="00696971"/>
    <w:rsid w:val="006978A0"/>
    <w:rsid w:val="006B6EDC"/>
    <w:rsid w:val="006D0478"/>
    <w:rsid w:val="006F0CFC"/>
    <w:rsid w:val="006F30F0"/>
    <w:rsid w:val="006F7D55"/>
    <w:rsid w:val="00704470"/>
    <w:rsid w:val="00724E07"/>
    <w:rsid w:val="00730E65"/>
    <w:rsid w:val="00752540"/>
    <w:rsid w:val="0075698E"/>
    <w:rsid w:val="007603A1"/>
    <w:rsid w:val="00762C99"/>
    <w:rsid w:val="007709FD"/>
    <w:rsid w:val="007763E6"/>
    <w:rsid w:val="00777D94"/>
    <w:rsid w:val="00777EC0"/>
    <w:rsid w:val="00784FCB"/>
    <w:rsid w:val="00786F94"/>
    <w:rsid w:val="00790FF6"/>
    <w:rsid w:val="007A09D6"/>
    <w:rsid w:val="007A4374"/>
    <w:rsid w:val="007B1CEF"/>
    <w:rsid w:val="007B4BB6"/>
    <w:rsid w:val="007B4ECE"/>
    <w:rsid w:val="007C00ED"/>
    <w:rsid w:val="007C0E25"/>
    <w:rsid w:val="007C12EA"/>
    <w:rsid w:val="007C6CE7"/>
    <w:rsid w:val="007D6EA8"/>
    <w:rsid w:val="007D7112"/>
    <w:rsid w:val="007E1015"/>
    <w:rsid w:val="007E1285"/>
    <w:rsid w:val="007F16A5"/>
    <w:rsid w:val="008143A2"/>
    <w:rsid w:val="00823A9E"/>
    <w:rsid w:val="00826BF0"/>
    <w:rsid w:val="00827B9E"/>
    <w:rsid w:val="00842D3E"/>
    <w:rsid w:val="00843342"/>
    <w:rsid w:val="00847BB3"/>
    <w:rsid w:val="0086109B"/>
    <w:rsid w:val="00865AD4"/>
    <w:rsid w:val="0089315E"/>
    <w:rsid w:val="00894835"/>
    <w:rsid w:val="0089502F"/>
    <w:rsid w:val="008B25FF"/>
    <w:rsid w:val="008C790E"/>
    <w:rsid w:val="008D47B9"/>
    <w:rsid w:val="008E30FE"/>
    <w:rsid w:val="008E6770"/>
    <w:rsid w:val="008F2F1E"/>
    <w:rsid w:val="00913154"/>
    <w:rsid w:val="00914A9D"/>
    <w:rsid w:val="0091525B"/>
    <w:rsid w:val="0092252D"/>
    <w:rsid w:val="00925846"/>
    <w:rsid w:val="00932319"/>
    <w:rsid w:val="00932A34"/>
    <w:rsid w:val="00937276"/>
    <w:rsid w:val="0094309D"/>
    <w:rsid w:val="0094398B"/>
    <w:rsid w:val="00950B8B"/>
    <w:rsid w:val="00957821"/>
    <w:rsid w:val="00961227"/>
    <w:rsid w:val="00965BC0"/>
    <w:rsid w:val="00975C03"/>
    <w:rsid w:val="0098658B"/>
    <w:rsid w:val="00993B58"/>
    <w:rsid w:val="00994FB6"/>
    <w:rsid w:val="009A3DB8"/>
    <w:rsid w:val="009A46F2"/>
    <w:rsid w:val="009A59F8"/>
    <w:rsid w:val="009B2FD7"/>
    <w:rsid w:val="009B4A9A"/>
    <w:rsid w:val="009C160C"/>
    <w:rsid w:val="009D7F72"/>
    <w:rsid w:val="009F5F1A"/>
    <w:rsid w:val="00A03666"/>
    <w:rsid w:val="00A07F59"/>
    <w:rsid w:val="00A30C5C"/>
    <w:rsid w:val="00A62B0F"/>
    <w:rsid w:val="00A704BB"/>
    <w:rsid w:val="00A72022"/>
    <w:rsid w:val="00A72958"/>
    <w:rsid w:val="00A80BD5"/>
    <w:rsid w:val="00A817F1"/>
    <w:rsid w:val="00A87B02"/>
    <w:rsid w:val="00AA1BAC"/>
    <w:rsid w:val="00AA2D56"/>
    <w:rsid w:val="00AB0A86"/>
    <w:rsid w:val="00AB2C33"/>
    <w:rsid w:val="00AB5038"/>
    <w:rsid w:val="00AB6C53"/>
    <w:rsid w:val="00AC0018"/>
    <w:rsid w:val="00AC5FD1"/>
    <w:rsid w:val="00AE4216"/>
    <w:rsid w:val="00AF3322"/>
    <w:rsid w:val="00B04744"/>
    <w:rsid w:val="00B04EA4"/>
    <w:rsid w:val="00B0542B"/>
    <w:rsid w:val="00B06EEE"/>
    <w:rsid w:val="00B10259"/>
    <w:rsid w:val="00B105D2"/>
    <w:rsid w:val="00B1322D"/>
    <w:rsid w:val="00B30C4E"/>
    <w:rsid w:val="00B35498"/>
    <w:rsid w:val="00B4788B"/>
    <w:rsid w:val="00B60EF3"/>
    <w:rsid w:val="00B61F57"/>
    <w:rsid w:val="00B6423A"/>
    <w:rsid w:val="00B83AEC"/>
    <w:rsid w:val="00B850D3"/>
    <w:rsid w:val="00BA2DE6"/>
    <w:rsid w:val="00BA7133"/>
    <w:rsid w:val="00BA73A4"/>
    <w:rsid w:val="00BB31C1"/>
    <w:rsid w:val="00BB3714"/>
    <w:rsid w:val="00BB577A"/>
    <w:rsid w:val="00BD0E8B"/>
    <w:rsid w:val="00BD6074"/>
    <w:rsid w:val="00BE0755"/>
    <w:rsid w:val="00BE55BF"/>
    <w:rsid w:val="00BE628B"/>
    <w:rsid w:val="00BE7DCA"/>
    <w:rsid w:val="00BF537A"/>
    <w:rsid w:val="00C0026A"/>
    <w:rsid w:val="00C00282"/>
    <w:rsid w:val="00C01D48"/>
    <w:rsid w:val="00C12EE5"/>
    <w:rsid w:val="00C33602"/>
    <w:rsid w:val="00C36657"/>
    <w:rsid w:val="00C46795"/>
    <w:rsid w:val="00C47A1F"/>
    <w:rsid w:val="00C521CA"/>
    <w:rsid w:val="00C6698D"/>
    <w:rsid w:val="00C6746D"/>
    <w:rsid w:val="00C733D4"/>
    <w:rsid w:val="00C743EE"/>
    <w:rsid w:val="00C766AE"/>
    <w:rsid w:val="00C838AD"/>
    <w:rsid w:val="00C85F26"/>
    <w:rsid w:val="00C92705"/>
    <w:rsid w:val="00C95BFE"/>
    <w:rsid w:val="00CA1CAA"/>
    <w:rsid w:val="00CD2265"/>
    <w:rsid w:val="00CE2B20"/>
    <w:rsid w:val="00CF16BE"/>
    <w:rsid w:val="00CF18AB"/>
    <w:rsid w:val="00CF1C9F"/>
    <w:rsid w:val="00CF2EF2"/>
    <w:rsid w:val="00D0458D"/>
    <w:rsid w:val="00D07B39"/>
    <w:rsid w:val="00D131A6"/>
    <w:rsid w:val="00D136A7"/>
    <w:rsid w:val="00D14F2E"/>
    <w:rsid w:val="00D1721C"/>
    <w:rsid w:val="00D20E10"/>
    <w:rsid w:val="00D260AC"/>
    <w:rsid w:val="00D31B2C"/>
    <w:rsid w:val="00D407EA"/>
    <w:rsid w:val="00D4102D"/>
    <w:rsid w:val="00D459B9"/>
    <w:rsid w:val="00D46CA9"/>
    <w:rsid w:val="00D6339C"/>
    <w:rsid w:val="00D84B72"/>
    <w:rsid w:val="00D85638"/>
    <w:rsid w:val="00D94A54"/>
    <w:rsid w:val="00DA034F"/>
    <w:rsid w:val="00DA2BCE"/>
    <w:rsid w:val="00DB1D64"/>
    <w:rsid w:val="00DC03DD"/>
    <w:rsid w:val="00DC04AA"/>
    <w:rsid w:val="00DC1FB4"/>
    <w:rsid w:val="00DC30FA"/>
    <w:rsid w:val="00DD59E0"/>
    <w:rsid w:val="00DF2C18"/>
    <w:rsid w:val="00DF473F"/>
    <w:rsid w:val="00E04506"/>
    <w:rsid w:val="00E2045E"/>
    <w:rsid w:val="00E3598E"/>
    <w:rsid w:val="00E37BCC"/>
    <w:rsid w:val="00E42E0C"/>
    <w:rsid w:val="00E44657"/>
    <w:rsid w:val="00E45801"/>
    <w:rsid w:val="00E46718"/>
    <w:rsid w:val="00E50C9F"/>
    <w:rsid w:val="00E566CD"/>
    <w:rsid w:val="00E6363A"/>
    <w:rsid w:val="00E851C9"/>
    <w:rsid w:val="00E862C9"/>
    <w:rsid w:val="00E87B31"/>
    <w:rsid w:val="00E91F05"/>
    <w:rsid w:val="00EA0622"/>
    <w:rsid w:val="00EC02E9"/>
    <w:rsid w:val="00ED07C7"/>
    <w:rsid w:val="00ED5181"/>
    <w:rsid w:val="00ED52FB"/>
    <w:rsid w:val="00EE17EE"/>
    <w:rsid w:val="00EE2EBF"/>
    <w:rsid w:val="00EE7AEF"/>
    <w:rsid w:val="00F07A55"/>
    <w:rsid w:val="00F23E62"/>
    <w:rsid w:val="00F31C72"/>
    <w:rsid w:val="00F352FC"/>
    <w:rsid w:val="00F35BDC"/>
    <w:rsid w:val="00F379CE"/>
    <w:rsid w:val="00F41BA4"/>
    <w:rsid w:val="00F456CB"/>
    <w:rsid w:val="00F6448D"/>
    <w:rsid w:val="00F67781"/>
    <w:rsid w:val="00F7769C"/>
    <w:rsid w:val="00F80EE4"/>
    <w:rsid w:val="00FA6695"/>
    <w:rsid w:val="00FB09E3"/>
    <w:rsid w:val="00FB55E4"/>
    <w:rsid w:val="00FB6E13"/>
    <w:rsid w:val="00FC2516"/>
    <w:rsid w:val="00FC3820"/>
    <w:rsid w:val="00FC4B3B"/>
    <w:rsid w:val="00FE07BD"/>
    <w:rsid w:val="00FF46F1"/>
    <w:rsid w:val="592C4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7623F"/>
  <w15:docId w15:val="{11ADA608-A59B-43A7-AECF-8B05F3E8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1C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431"/>
  </w:style>
  <w:style w:type="paragraph" w:styleId="Footer">
    <w:name w:val="footer"/>
    <w:basedOn w:val="Normal"/>
    <w:link w:val="FooterChar"/>
    <w:uiPriority w:val="99"/>
    <w:unhideWhenUsed/>
    <w:rsid w:val="00462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431"/>
  </w:style>
  <w:style w:type="paragraph" w:styleId="BalloonText">
    <w:name w:val="Balloon Text"/>
    <w:basedOn w:val="Normal"/>
    <w:link w:val="BalloonTextChar"/>
    <w:uiPriority w:val="99"/>
    <w:semiHidden/>
    <w:unhideWhenUsed/>
    <w:rsid w:val="00462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431"/>
    <w:rPr>
      <w:rFonts w:ascii="Tahoma" w:hAnsi="Tahoma" w:cs="Tahoma"/>
      <w:sz w:val="16"/>
      <w:szCs w:val="16"/>
    </w:rPr>
  </w:style>
  <w:style w:type="paragraph" w:styleId="ListParagraph">
    <w:name w:val="List Paragraph"/>
    <w:basedOn w:val="Normal"/>
    <w:uiPriority w:val="34"/>
    <w:qFormat/>
    <w:rsid w:val="00A72022"/>
    <w:pPr>
      <w:ind w:left="720"/>
      <w:contextualSpacing/>
    </w:pPr>
    <w:rPr>
      <w:rFonts w:ascii="Calibri" w:eastAsia="Calibri" w:hAnsi="Calibri" w:cs="Times New Roman"/>
    </w:rPr>
  </w:style>
  <w:style w:type="paragraph" w:styleId="FootnoteText">
    <w:name w:val="footnote text"/>
    <w:basedOn w:val="Normal"/>
    <w:link w:val="FootnoteTextChar"/>
    <w:unhideWhenUsed/>
    <w:rsid w:val="003F2A49"/>
    <w:pPr>
      <w:spacing w:after="0" w:line="240" w:lineRule="auto"/>
    </w:pPr>
    <w:rPr>
      <w:sz w:val="20"/>
      <w:szCs w:val="20"/>
    </w:rPr>
  </w:style>
  <w:style w:type="character" w:customStyle="1" w:styleId="FootnoteTextChar">
    <w:name w:val="Footnote Text Char"/>
    <w:basedOn w:val="DefaultParagraphFont"/>
    <w:link w:val="FootnoteText"/>
    <w:rsid w:val="003F2A49"/>
    <w:rPr>
      <w:sz w:val="20"/>
      <w:szCs w:val="20"/>
    </w:rPr>
  </w:style>
  <w:style w:type="character" w:styleId="FootnoteReference">
    <w:name w:val="footnote reference"/>
    <w:basedOn w:val="DefaultParagraphFont"/>
    <w:unhideWhenUsed/>
    <w:rsid w:val="003F2A49"/>
    <w:rPr>
      <w:vertAlign w:val="superscript"/>
    </w:rPr>
  </w:style>
  <w:style w:type="character" w:styleId="Hyperlink">
    <w:name w:val="Hyperlink"/>
    <w:basedOn w:val="DefaultParagraphFont"/>
    <w:uiPriority w:val="99"/>
    <w:unhideWhenUsed/>
    <w:rsid w:val="003F2A49"/>
    <w:rPr>
      <w:color w:val="0000FF"/>
      <w:u w:val="single"/>
    </w:rPr>
  </w:style>
  <w:style w:type="character" w:styleId="CommentReference">
    <w:name w:val="annotation reference"/>
    <w:basedOn w:val="DefaultParagraphFont"/>
    <w:uiPriority w:val="99"/>
    <w:semiHidden/>
    <w:unhideWhenUsed/>
    <w:rsid w:val="003F6AA1"/>
    <w:rPr>
      <w:sz w:val="16"/>
      <w:szCs w:val="16"/>
    </w:rPr>
  </w:style>
  <w:style w:type="paragraph" w:styleId="CommentText">
    <w:name w:val="annotation text"/>
    <w:basedOn w:val="Normal"/>
    <w:link w:val="CommentTextChar"/>
    <w:uiPriority w:val="99"/>
    <w:unhideWhenUsed/>
    <w:rsid w:val="003F6AA1"/>
    <w:pPr>
      <w:spacing w:line="240" w:lineRule="auto"/>
    </w:pPr>
    <w:rPr>
      <w:sz w:val="20"/>
      <w:szCs w:val="20"/>
    </w:rPr>
  </w:style>
  <w:style w:type="character" w:customStyle="1" w:styleId="CommentTextChar">
    <w:name w:val="Comment Text Char"/>
    <w:basedOn w:val="DefaultParagraphFont"/>
    <w:link w:val="CommentText"/>
    <w:uiPriority w:val="99"/>
    <w:rsid w:val="003F6AA1"/>
    <w:rPr>
      <w:sz w:val="20"/>
      <w:szCs w:val="20"/>
    </w:rPr>
  </w:style>
  <w:style w:type="paragraph" w:styleId="CommentSubject">
    <w:name w:val="annotation subject"/>
    <w:basedOn w:val="CommentText"/>
    <w:next w:val="CommentText"/>
    <w:link w:val="CommentSubjectChar"/>
    <w:uiPriority w:val="99"/>
    <w:semiHidden/>
    <w:unhideWhenUsed/>
    <w:rsid w:val="003F6AA1"/>
    <w:rPr>
      <w:b/>
      <w:bCs/>
    </w:rPr>
  </w:style>
  <w:style w:type="character" w:customStyle="1" w:styleId="CommentSubjectChar">
    <w:name w:val="Comment Subject Char"/>
    <w:basedOn w:val="CommentTextChar"/>
    <w:link w:val="CommentSubject"/>
    <w:uiPriority w:val="99"/>
    <w:semiHidden/>
    <w:rsid w:val="003F6AA1"/>
    <w:rPr>
      <w:b/>
      <w:bCs/>
      <w:sz w:val="20"/>
      <w:szCs w:val="20"/>
    </w:rPr>
  </w:style>
  <w:style w:type="character" w:customStyle="1" w:styleId="Negative">
    <w:name w:val="_Negative"/>
    <w:basedOn w:val="DefaultParagraphFont"/>
    <w:rsid w:val="00292E3D"/>
    <w:rPr>
      <w:b/>
      <w:color w:val="FF0000"/>
      <w:u w:val="single"/>
    </w:rPr>
  </w:style>
  <w:style w:type="table" w:styleId="TableGrid">
    <w:name w:val="Table Grid"/>
    <w:basedOn w:val="TableNormal"/>
    <w:uiPriority w:val="59"/>
    <w:rsid w:val="00F23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850D3"/>
    <w:rPr>
      <w:color w:val="605E5C"/>
      <w:shd w:val="clear" w:color="auto" w:fill="E1DFDD"/>
    </w:rPr>
  </w:style>
  <w:style w:type="character" w:styleId="FollowedHyperlink">
    <w:name w:val="FollowedHyperlink"/>
    <w:basedOn w:val="DefaultParagraphFont"/>
    <w:uiPriority w:val="99"/>
    <w:semiHidden/>
    <w:unhideWhenUsed/>
    <w:rsid w:val="00441F71"/>
    <w:rPr>
      <w:color w:val="800080" w:themeColor="followedHyperlink"/>
      <w:u w:val="single"/>
    </w:rPr>
  </w:style>
  <w:style w:type="character" w:customStyle="1" w:styleId="UnresolvedMention2">
    <w:name w:val="Unresolved Mention2"/>
    <w:basedOn w:val="DefaultParagraphFont"/>
    <w:uiPriority w:val="99"/>
    <w:rsid w:val="000765E4"/>
    <w:rPr>
      <w:color w:val="605E5C"/>
      <w:shd w:val="clear" w:color="auto" w:fill="E1DFDD"/>
    </w:rPr>
  </w:style>
  <w:style w:type="paragraph" w:styleId="Revision">
    <w:name w:val="Revision"/>
    <w:hidden/>
    <w:uiPriority w:val="99"/>
    <w:semiHidden/>
    <w:rsid w:val="008E6770"/>
    <w:pPr>
      <w:spacing w:after="0" w:line="240" w:lineRule="auto"/>
    </w:pPr>
  </w:style>
  <w:style w:type="paragraph" w:styleId="BodyText">
    <w:name w:val="Body Text"/>
    <w:basedOn w:val="Normal"/>
    <w:link w:val="BodyTextChar"/>
    <w:uiPriority w:val="1"/>
    <w:qFormat/>
    <w:rsid w:val="001D2FF3"/>
    <w:pPr>
      <w:spacing w:after="0" w:line="240" w:lineRule="auto"/>
      <w:ind w:left="100"/>
      <w:jc w:val="both"/>
    </w:pPr>
    <w:rPr>
      <w:rFonts w:cs="Calibri"/>
    </w:rPr>
  </w:style>
  <w:style w:type="character" w:customStyle="1" w:styleId="BodyTextChar">
    <w:name w:val="Body Text Char"/>
    <w:basedOn w:val="DefaultParagraphFont"/>
    <w:link w:val="BodyText"/>
    <w:uiPriority w:val="1"/>
    <w:rsid w:val="001D2FF3"/>
    <w:rPr>
      <w:rFonts w:cs="Calibri"/>
    </w:rPr>
  </w:style>
  <w:style w:type="paragraph" w:customStyle="1" w:styleId="TableParagraph">
    <w:name w:val="Table Paragraph"/>
    <w:basedOn w:val="Normal"/>
    <w:uiPriority w:val="1"/>
    <w:qFormat/>
    <w:rsid w:val="00FA6695"/>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7702">
      <w:bodyDiv w:val="1"/>
      <w:marLeft w:val="0"/>
      <w:marRight w:val="0"/>
      <w:marTop w:val="0"/>
      <w:marBottom w:val="0"/>
      <w:divBdr>
        <w:top w:val="none" w:sz="0" w:space="0" w:color="auto"/>
        <w:left w:val="none" w:sz="0" w:space="0" w:color="auto"/>
        <w:bottom w:val="none" w:sz="0" w:space="0" w:color="auto"/>
        <w:right w:val="none" w:sz="0" w:space="0" w:color="auto"/>
      </w:divBdr>
    </w:div>
    <w:div w:id="237984587">
      <w:bodyDiv w:val="1"/>
      <w:marLeft w:val="0"/>
      <w:marRight w:val="0"/>
      <w:marTop w:val="0"/>
      <w:marBottom w:val="0"/>
      <w:divBdr>
        <w:top w:val="none" w:sz="0" w:space="0" w:color="auto"/>
        <w:left w:val="none" w:sz="0" w:space="0" w:color="auto"/>
        <w:bottom w:val="none" w:sz="0" w:space="0" w:color="auto"/>
        <w:right w:val="none" w:sz="0" w:space="0" w:color="auto"/>
      </w:divBdr>
    </w:div>
    <w:div w:id="351029959">
      <w:bodyDiv w:val="1"/>
      <w:marLeft w:val="0"/>
      <w:marRight w:val="0"/>
      <w:marTop w:val="0"/>
      <w:marBottom w:val="0"/>
      <w:divBdr>
        <w:top w:val="none" w:sz="0" w:space="0" w:color="auto"/>
        <w:left w:val="none" w:sz="0" w:space="0" w:color="auto"/>
        <w:bottom w:val="none" w:sz="0" w:space="0" w:color="auto"/>
        <w:right w:val="none" w:sz="0" w:space="0" w:color="auto"/>
      </w:divBdr>
    </w:div>
    <w:div w:id="373651329">
      <w:bodyDiv w:val="1"/>
      <w:marLeft w:val="0"/>
      <w:marRight w:val="0"/>
      <w:marTop w:val="0"/>
      <w:marBottom w:val="0"/>
      <w:divBdr>
        <w:top w:val="none" w:sz="0" w:space="0" w:color="auto"/>
        <w:left w:val="none" w:sz="0" w:space="0" w:color="auto"/>
        <w:bottom w:val="none" w:sz="0" w:space="0" w:color="auto"/>
        <w:right w:val="none" w:sz="0" w:space="0" w:color="auto"/>
      </w:divBdr>
    </w:div>
    <w:div w:id="447552120">
      <w:bodyDiv w:val="1"/>
      <w:marLeft w:val="0"/>
      <w:marRight w:val="0"/>
      <w:marTop w:val="0"/>
      <w:marBottom w:val="0"/>
      <w:divBdr>
        <w:top w:val="none" w:sz="0" w:space="0" w:color="auto"/>
        <w:left w:val="none" w:sz="0" w:space="0" w:color="auto"/>
        <w:bottom w:val="none" w:sz="0" w:space="0" w:color="auto"/>
        <w:right w:val="none" w:sz="0" w:space="0" w:color="auto"/>
      </w:divBdr>
    </w:div>
    <w:div w:id="544872978">
      <w:bodyDiv w:val="1"/>
      <w:marLeft w:val="0"/>
      <w:marRight w:val="0"/>
      <w:marTop w:val="0"/>
      <w:marBottom w:val="0"/>
      <w:divBdr>
        <w:top w:val="none" w:sz="0" w:space="0" w:color="auto"/>
        <w:left w:val="none" w:sz="0" w:space="0" w:color="auto"/>
        <w:bottom w:val="none" w:sz="0" w:space="0" w:color="auto"/>
        <w:right w:val="none" w:sz="0" w:space="0" w:color="auto"/>
      </w:divBdr>
    </w:div>
    <w:div w:id="1533226974">
      <w:bodyDiv w:val="1"/>
      <w:marLeft w:val="0"/>
      <w:marRight w:val="0"/>
      <w:marTop w:val="0"/>
      <w:marBottom w:val="0"/>
      <w:divBdr>
        <w:top w:val="none" w:sz="0" w:space="0" w:color="auto"/>
        <w:left w:val="none" w:sz="0" w:space="0" w:color="auto"/>
        <w:bottom w:val="none" w:sz="0" w:space="0" w:color="auto"/>
        <w:right w:val="none" w:sz="0" w:space="0" w:color="auto"/>
      </w:divBdr>
    </w:div>
    <w:div w:id="1629749338">
      <w:bodyDiv w:val="1"/>
      <w:marLeft w:val="0"/>
      <w:marRight w:val="0"/>
      <w:marTop w:val="0"/>
      <w:marBottom w:val="0"/>
      <w:divBdr>
        <w:top w:val="none" w:sz="0" w:space="0" w:color="auto"/>
        <w:left w:val="none" w:sz="0" w:space="0" w:color="auto"/>
        <w:bottom w:val="none" w:sz="0" w:space="0" w:color="auto"/>
        <w:right w:val="none" w:sz="0" w:space="0" w:color="auto"/>
      </w:divBdr>
    </w:div>
    <w:div w:id="1789469776">
      <w:bodyDiv w:val="1"/>
      <w:marLeft w:val="0"/>
      <w:marRight w:val="0"/>
      <w:marTop w:val="0"/>
      <w:marBottom w:val="0"/>
      <w:divBdr>
        <w:top w:val="none" w:sz="0" w:space="0" w:color="auto"/>
        <w:left w:val="none" w:sz="0" w:space="0" w:color="auto"/>
        <w:bottom w:val="none" w:sz="0" w:space="0" w:color="auto"/>
        <w:right w:val="none" w:sz="0" w:space="0" w:color="auto"/>
      </w:divBdr>
    </w:div>
    <w:div w:id="1892106361">
      <w:bodyDiv w:val="1"/>
      <w:marLeft w:val="0"/>
      <w:marRight w:val="0"/>
      <w:marTop w:val="0"/>
      <w:marBottom w:val="0"/>
      <w:divBdr>
        <w:top w:val="none" w:sz="0" w:space="0" w:color="auto"/>
        <w:left w:val="none" w:sz="0" w:space="0" w:color="auto"/>
        <w:bottom w:val="none" w:sz="0" w:space="0" w:color="auto"/>
        <w:right w:val="none" w:sz="0" w:space="0" w:color="auto"/>
      </w:divBdr>
    </w:div>
    <w:div w:id="1994792199">
      <w:bodyDiv w:val="1"/>
      <w:marLeft w:val="0"/>
      <w:marRight w:val="0"/>
      <w:marTop w:val="0"/>
      <w:marBottom w:val="0"/>
      <w:divBdr>
        <w:top w:val="none" w:sz="0" w:space="0" w:color="auto"/>
        <w:left w:val="none" w:sz="0" w:space="0" w:color="auto"/>
        <w:bottom w:val="none" w:sz="0" w:space="0" w:color="auto"/>
        <w:right w:val="none" w:sz="0" w:space="0" w:color="auto"/>
      </w:divBdr>
    </w:div>
    <w:div w:id="21379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mainvestments.co.uk/advisors-puma-alpha-ei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F99B42B148940A8BF8D309EFA9AFF" ma:contentTypeVersion="9" ma:contentTypeDescription="Create a new document." ma:contentTypeScope="" ma:versionID="2e3eaa64f000c24a3502124f028f2ede">
  <xsd:schema xmlns:xsd="http://www.w3.org/2001/XMLSchema" xmlns:xs="http://www.w3.org/2001/XMLSchema" xmlns:p="http://schemas.microsoft.com/office/2006/metadata/properties" xmlns:ns3="95cd61f1-9a19-40b8-803e-057a6ffcd329" targetNamespace="http://schemas.microsoft.com/office/2006/metadata/properties" ma:root="true" ma:fieldsID="6fef9ae93dc913aceea075719f6815eb" ns3:_="">
    <xsd:import namespace="95cd61f1-9a19-40b8-803e-057a6ffcd3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d61f1-9a19-40b8-803e-057a6ffcd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63851-0E4C-4419-908B-A557B7362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d61f1-9a19-40b8-803e-057a6ffcd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879DE-2784-4BA4-A3E1-A83C680D7354}">
  <ds:schemaRefs>
    <ds:schemaRef ds:uri="http://schemas.openxmlformats.org/officeDocument/2006/bibliography"/>
  </ds:schemaRefs>
</ds:datastoreItem>
</file>

<file path=customXml/itemProps3.xml><?xml version="1.0" encoding="utf-8"?>
<ds:datastoreItem xmlns:ds="http://schemas.openxmlformats.org/officeDocument/2006/customXml" ds:itemID="{2356A290-95EE-4081-AE3A-AFA343D09256}">
  <ds:schemaRefs>
    <ds:schemaRef ds:uri="http://schemas.microsoft.com/sharepoint/v3/contenttype/forms"/>
  </ds:schemaRefs>
</ds:datastoreItem>
</file>

<file path=customXml/itemProps4.xml><?xml version="1.0" encoding="utf-8"?>
<ds:datastoreItem xmlns:ds="http://schemas.openxmlformats.org/officeDocument/2006/customXml" ds:itemID="{45EE9DBA-19D2-41B6-9B33-429BA62A73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1711</Words>
  <Characters>9753</Characters>
  <Application>Microsoft Office Word</Application>
  <DocSecurity>0</DocSecurity>
  <Lines>81</Lines>
  <Paragraphs>22</Paragraphs>
  <ScaleCrop>false</ScaleCrop>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Harding</dc:creator>
  <cp:lastModifiedBy>George Clelland</cp:lastModifiedBy>
  <cp:revision>13</cp:revision>
  <dcterms:created xsi:type="dcterms:W3CDTF">2023-10-16T13:53:00Z</dcterms:created>
  <dcterms:modified xsi:type="dcterms:W3CDTF">2023-10-16T14:29:00Z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0x010100911F99B42B148940A8BF8D309EFA9AFF</vt:lpwstr>
  </property>
</Properties>
</file>