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5099F" w14:textId="6ED689A5" w:rsidR="00D136A7" w:rsidRPr="00A704BB" w:rsidRDefault="00BF23F8" w:rsidP="00A704BB">
      <w:pPr>
        <w:pStyle w:val="Header"/>
        <w:rPr>
          <w:rFonts w:ascii="Arial" w:hAnsi="Arial" w:cs="Arial"/>
          <w:color w:val="A6A6A6" w:themeColor="background1" w:themeShade="A6"/>
          <w:sz w:val="20"/>
          <w:szCs w:val="20"/>
        </w:rPr>
      </w:pPr>
      <w:r>
        <w:rPr>
          <w:rFonts w:ascii="Arial" w:hAnsi="Arial" w:cs="Arial"/>
          <w:b/>
          <w:color w:val="A6A6A6" w:themeColor="background1" w:themeShade="A6"/>
          <w:sz w:val="20"/>
          <w:szCs w:val="20"/>
        </w:rPr>
        <w:t>D</w:t>
      </w:r>
      <w:r w:rsidR="00D136A7" w:rsidRPr="00A704BB">
        <w:rPr>
          <w:rFonts w:ascii="Arial" w:hAnsi="Arial" w:cs="Arial"/>
          <w:b/>
          <w:color w:val="A6A6A6" w:themeColor="background1" w:themeShade="A6"/>
          <w:sz w:val="20"/>
          <w:szCs w:val="20"/>
        </w:rPr>
        <w:t>***NOT TO BE DISTRIBUTED - For use by Financial Adviser only***</w:t>
      </w:r>
    </w:p>
    <w:p w14:paraId="7AE80907" w14:textId="77777777" w:rsidR="00D136A7" w:rsidRPr="00A704BB" w:rsidRDefault="00D136A7" w:rsidP="00D85638">
      <w:pPr>
        <w:jc w:val="center"/>
        <w:rPr>
          <w:rFonts w:ascii="Arial" w:hAnsi="Arial" w:cs="Arial"/>
          <w:b/>
          <w:u w:val="single"/>
        </w:rPr>
      </w:pPr>
    </w:p>
    <w:p w14:paraId="5AE8F758" w14:textId="46DC291D" w:rsidR="000765E4" w:rsidRDefault="001265BE" w:rsidP="004B1C4F">
      <w:pPr>
        <w:spacing w:after="120" w:line="240" w:lineRule="auto"/>
        <w:rPr>
          <w:rFonts w:ascii="Arial" w:eastAsia="Arial" w:hAnsi="Arial" w:cs="Arial"/>
          <w:b/>
          <w:color w:val="1B202A"/>
          <w:sz w:val="36"/>
          <w:szCs w:val="36"/>
          <w:lang w:val="en-US"/>
        </w:rPr>
      </w:pPr>
      <w:r w:rsidRPr="00A704BB">
        <w:rPr>
          <w:rFonts w:ascii="Arial" w:eastAsia="Arial" w:hAnsi="Arial" w:cs="Arial"/>
          <w:b/>
          <w:color w:val="1B202A"/>
          <w:sz w:val="36"/>
          <w:szCs w:val="36"/>
          <w:lang w:val="en-US"/>
        </w:rPr>
        <w:t>Template Information</w:t>
      </w:r>
      <w:r w:rsidR="00FF46F1" w:rsidRPr="00A704BB">
        <w:rPr>
          <w:rFonts w:ascii="Arial" w:eastAsia="Arial" w:hAnsi="Arial" w:cs="Arial"/>
          <w:b/>
          <w:color w:val="1B202A"/>
          <w:sz w:val="36"/>
          <w:szCs w:val="36"/>
          <w:lang w:val="en-US"/>
        </w:rPr>
        <w:t xml:space="preserve"> Letter</w:t>
      </w:r>
    </w:p>
    <w:p w14:paraId="09D9051E" w14:textId="596750B0" w:rsidR="004B1C4F" w:rsidRPr="004B1C4F" w:rsidRDefault="004B1C4F" w:rsidP="004B1C4F">
      <w:pPr>
        <w:spacing w:after="0"/>
        <w:rPr>
          <w:rFonts w:ascii="Arial" w:hAnsi="Arial" w:cs="Arial"/>
          <w:i/>
          <w:sz w:val="12"/>
          <w:szCs w:val="12"/>
        </w:rPr>
      </w:pPr>
      <w:r w:rsidRPr="004B1C4F">
        <w:rPr>
          <w:rFonts w:ascii="Arial" w:eastAsia="Arial" w:hAnsi="Arial" w:cs="Arial"/>
          <w:b/>
          <w:color w:val="1B202A"/>
          <w:sz w:val="24"/>
          <w:szCs w:val="24"/>
          <w:lang w:val="en-US"/>
        </w:rPr>
        <w:t xml:space="preserve">Puma </w:t>
      </w:r>
      <w:r w:rsidR="0018096F">
        <w:rPr>
          <w:rFonts w:ascii="Arial" w:eastAsia="Arial" w:hAnsi="Arial" w:cs="Arial"/>
          <w:b/>
          <w:color w:val="1B202A"/>
          <w:sz w:val="24"/>
          <w:szCs w:val="24"/>
          <w:lang w:val="en-US"/>
        </w:rPr>
        <w:t>Heritage Estate Planning Service</w:t>
      </w:r>
    </w:p>
    <w:p w14:paraId="1E4E0D3A" w14:textId="035081F5" w:rsidR="00293AA5" w:rsidRDefault="004B1C4F" w:rsidP="002C302A">
      <w:pPr>
        <w:spacing w:after="0"/>
        <w:rPr>
          <w:rFonts w:ascii="Arial" w:hAnsi="Arial" w:cs="Arial"/>
          <w:i/>
          <w:sz w:val="18"/>
          <w:szCs w:val="18"/>
        </w:rPr>
      </w:pPr>
      <w:r w:rsidRPr="004B1C4F">
        <w:rPr>
          <w:rFonts w:ascii="Arial" w:eastAsia="Arial" w:hAnsi="Arial" w:cs="Arial"/>
          <w:b/>
          <w:noProof/>
          <w:color w:val="1B202A"/>
          <w:sz w:val="36"/>
          <w:szCs w:val="36"/>
          <w:lang w:val="en-US"/>
        </w:rPr>
        <mc:AlternateContent>
          <mc:Choice Requires="wps">
            <w:drawing>
              <wp:anchor distT="0" distB="0" distL="114300" distR="114300" simplePos="0" relativeHeight="251660288" behindDoc="0" locked="0" layoutInCell="1" allowOverlap="1" wp14:anchorId="48506CCB" wp14:editId="1B10020D">
                <wp:simplePos x="0" y="0"/>
                <wp:positionH relativeFrom="margin">
                  <wp:posOffset>6985</wp:posOffset>
                </wp:positionH>
                <wp:positionV relativeFrom="page">
                  <wp:posOffset>2860675</wp:posOffset>
                </wp:positionV>
                <wp:extent cx="5724525" cy="0"/>
                <wp:effectExtent l="0" t="0" r="0" b="0"/>
                <wp:wrapNone/>
                <wp:docPr id="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line">
                          <a:avLst/>
                        </a:prstGeom>
                        <a:noFill/>
                        <a:ln w="12065">
                          <a:solidFill>
                            <a:srgbClr val="00224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AEB745" id="Line 26"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5pt,225.25pt" to="451.3pt,2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" strokecolor="#024" strokeweight=".95pt">
                <w10:wrap anchorx="margin" anchory="page"/>
              </v:line>
            </w:pict>
          </mc:Fallback>
        </mc:AlternateContent>
      </w:r>
    </w:p>
    <w:p w14:paraId="2339E12F" w14:textId="77777777" w:rsidR="00293AA5" w:rsidRDefault="00293AA5" w:rsidP="002C302A">
      <w:pPr>
        <w:spacing w:after="0"/>
        <w:rPr>
          <w:rFonts w:ascii="Arial" w:hAnsi="Arial" w:cs="Arial"/>
          <w:i/>
          <w:sz w:val="18"/>
          <w:szCs w:val="18"/>
        </w:rPr>
      </w:pPr>
    </w:p>
    <w:p w14:paraId="5EC741FA" w14:textId="77777777" w:rsidR="009A46F2" w:rsidRDefault="009A46F2" w:rsidP="0089502F">
      <w:pPr>
        <w:spacing w:after="0"/>
        <w:rPr>
          <w:rFonts w:ascii="Arial" w:hAnsi="Arial" w:cs="Arial"/>
          <w:i/>
          <w:sz w:val="18"/>
          <w:szCs w:val="18"/>
        </w:rPr>
      </w:pPr>
    </w:p>
    <w:p w14:paraId="6B671217" w14:textId="21872F4B" w:rsidR="00A13B8D" w:rsidRPr="00A13B8D" w:rsidRDefault="00A13B8D" w:rsidP="00A13B8D">
      <w:pPr>
        <w:spacing w:after="0"/>
        <w:rPr>
          <w:rFonts w:ascii="Arial" w:hAnsi="Arial" w:cs="Arial"/>
          <w:i/>
          <w:sz w:val="18"/>
          <w:szCs w:val="18"/>
        </w:rPr>
      </w:pPr>
      <w:r w:rsidRPr="00A13B8D">
        <w:rPr>
          <w:rFonts w:ascii="Arial" w:hAnsi="Arial" w:cs="Arial"/>
          <w:i/>
          <w:sz w:val="18"/>
          <w:szCs w:val="18"/>
        </w:rPr>
        <w:t xml:space="preserve">The </w:t>
      </w:r>
      <w:proofErr w:type="gramStart"/>
      <w:r w:rsidRPr="00A13B8D">
        <w:rPr>
          <w:rFonts w:ascii="Arial" w:hAnsi="Arial" w:cs="Arial"/>
          <w:i/>
          <w:sz w:val="18"/>
          <w:szCs w:val="18"/>
        </w:rPr>
        <w:t>factual information</w:t>
      </w:r>
      <w:proofErr w:type="gramEnd"/>
      <w:r w:rsidRPr="00A13B8D">
        <w:rPr>
          <w:rFonts w:ascii="Arial" w:hAnsi="Arial" w:cs="Arial"/>
          <w:i/>
          <w:sz w:val="18"/>
          <w:szCs w:val="18"/>
        </w:rPr>
        <w:t xml:space="preserve"> set out below does not constitute a suitability letter or a personal recommendation by Puma Investments (“the Manager”) to you or your underlying clients to subscribe to the Puma Heritage Estate Planning Service (“EPS”) with Optional Life Protection (“the Service”) and should not be treated as such.  The information is provided to assist you in determining whether the Service is suitable for your clients. We have set out some of the key features of the Service which should be read in conjunction with the Investment Details, the Investor Agreement and the Intermediary Agreement for the Service.  You must ensure you are satisfied that any subscription by you and/or your underlying clients into the Service complies with the FCA’s rules and your own Compliance Department Guidelines.  You should refer to the Investment Details and the Investor Agreement as the basis for a subscription into the Service.  Please see the disclaimer at the end of this document.    </w:t>
      </w:r>
    </w:p>
    <w:p w14:paraId="00847319" w14:textId="6C2DEA6C" w:rsidR="00E93EF1" w:rsidRPr="00311DFB" w:rsidRDefault="00E93EF1" w:rsidP="00A13B8D">
      <w:pPr>
        <w:spacing w:after="0"/>
        <w:rPr>
          <w:rFonts w:cs="Arial"/>
          <w:iCs/>
          <w:szCs w:val="20"/>
          <w:lang w:eastAsia="en-GB"/>
        </w:rPr>
      </w:pPr>
    </w:p>
    <w:p w14:paraId="38E4492A" w14:textId="05C0F2A7" w:rsidR="0089502F" w:rsidRPr="004B1C4F" w:rsidRDefault="0089502F" w:rsidP="0089502F">
      <w:pPr>
        <w:spacing w:after="0"/>
        <w:rPr>
          <w:rFonts w:ascii="Arial" w:hAnsi="Arial" w:cs="Arial"/>
          <w:i/>
          <w:sz w:val="18"/>
          <w:szCs w:val="18"/>
        </w:rPr>
      </w:pPr>
    </w:p>
    <w:p w14:paraId="0339C852" w14:textId="4615B7CC" w:rsidR="00E0248D" w:rsidRDefault="009A46F2" w:rsidP="00E70630">
      <w:pPr>
        <w:spacing w:after="0"/>
        <w:rPr>
          <w:rFonts w:ascii="Arial" w:hAnsi="Arial" w:cs="Arial"/>
          <w:b/>
          <w:bCs/>
          <w:iCs/>
          <w:sz w:val="18"/>
          <w:szCs w:val="18"/>
          <w:lang w:eastAsia="en-GB"/>
        </w:rPr>
      </w:pPr>
      <w:r w:rsidRPr="004B1C4F">
        <w:rPr>
          <w:rFonts w:ascii="Arial" w:eastAsia="Arial" w:hAnsi="Arial" w:cs="Arial"/>
          <w:b/>
          <w:noProof/>
          <w:color w:val="1B202A"/>
          <w:sz w:val="36"/>
          <w:szCs w:val="36"/>
          <w:lang w:val="en-US"/>
        </w:rPr>
        <mc:AlternateContent>
          <mc:Choice Requires="wps">
            <w:drawing>
              <wp:anchor distT="0" distB="0" distL="114300" distR="114300" simplePos="0" relativeHeight="251664384" behindDoc="0" locked="0" layoutInCell="1" allowOverlap="1" wp14:anchorId="14455363" wp14:editId="01AFB9EA">
                <wp:simplePos x="0" y="0"/>
                <wp:positionH relativeFrom="margin">
                  <wp:posOffset>6350</wp:posOffset>
                </wp:positionH>
                <wp:positionV relativeFrom="page">
                  <wp:posOffset>4711700</wp:posOffset>
                </wp:positionV>
                <wp:extent cx="5724525" cy="0"/>
                <wp:effectExtent l="0" t="0" r="0" b="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line">
                          <a:avLst/>
                        </a:prstGeom>
                        <a:noFill/>
                        <a:ln w="12065">
                          <a:solidFill>
                            <a:srgbClr val="00224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587535" id="Line 26"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pt,371pt" to="451.25pt,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" strokecolor="#024" strokeweight=".95pt">
                <w10:wrap anchorx="margin" anchory="page"/>
              </v:line>
            </w:pict>
          </mc:Fallback>
        </mc:AlternateContent>
      </w:r>
    </w:p>
    <w:p w14:paraId="10888159" w14:textId="77777777" w:rsidR="00E0248D" w:rsidRDefault="00E0248D" w:rsidP="00E70630">
      <w:pPr>
        <w:spacing w:after="0"/>
        <w:rPr>
          <w:rFonts w:ascii="Arial" w:hAnsi="Arial" w:cs="Arial"/>
          <w:b/>
          <w:bCs/>
          <w:iCs/>
          <w:sz w:val="18"/>
          <w:szCs w:val="18"/>
          <w:lang w:eastAsia="en-GB"/>
        </w:rPr>
      </w:pPr>
    </w:p>
    <w:p w14:paraId="47665EE4" w14:textId="623FA2FC" w:rsidR="00135E7E" w:rsidRPr="00821835" w:rsidRDefault="00135E7E" w:rsidP="00E70630">
      <w:pPr>
        <w:spacing w:after="0"/>
        <w:rPr>
          <w:rFonts w:ascii="Arial" w:hAnsi="Arial" w:cs="Arial"/>
          <w:b/>
          <w:sz w:val="18"/>
          <w:szCs w:val="18"/>
          <w:u w:val="single"/>
        </w:rPr>
      </w:pPr>
      <w:r w:rsidRPr="00821835">
        <w:rPr>
          <w:rFonts w:ascii="Arial" w:hAnsi="Arial" w:cs="Arial"/>
          <w:b/>
          <w:sz w:val="18"/>
          <w:szCs w:val="18"/>
          <w:u w:val="single"/>
        </w:rPr>
        <w:t xml:space="preserve">What is </w:t>
      </w:r>
      <w:r w:rsidR="00E6069E" w:rsidRPr="00821835">
        <w:rPr>
          <w:rFonts w:ascii="Arial" w:hAnsi="Arial" w:cs="Arial"/>
          <w:b/>
          <w:sz w:val="18"/>
          <w:szCs w:val="18"/>
          <w:u w:val="single"/>
        </w:rPr>
        <w:t xml:space="preserve">Puma </w:t>
      </w:r>
      <w:r w:rsidRPr="00821835">
        <w:rPr>
          <w:rFonts w:ascii="Arial" w:hAnsi="Arial" w:cs="Arial"/>
          <w:b/>
          <w:sz w:val="18"/>
          <w:szCs w:val="18"/>
          <w:u w:val="single"/>
        </w:rPr>
        <w:t>Heritage Estate Planning Service</w:t>
      </w:r>
    </w:p>
    <w:p w14:paraId="3C02E380" w14:textId="77777777" w:rsidR="00135E7E" w:rsidRDefault="00135E7E" w:rsidP="00E70630">
      <w:pPr>
        <w:spacing w:after="0"/>
        <w:rPr>
          <w:rFonts w:ascii="Arial" w:hAnsi="Arial" w:cs="Arial"/>
          <w:sz w:val="18"/>
          <w:szCs w:val="18"/>
        </w:rPr>
      </w:pPr>
    </w:p>
    <w:p w14:paraId="6BF2677E" w14:textId="4E5A2B49" w:rsidR="00E70630" w:rsidRPr="00E0248D" w:rsidRDefault="00E70630" w:rsidP="00E70630">
      <w:pPr>
        <w:spacing w:after="0"/>
        <w:rPr>
          <w:rFonts w:ascii="Arial" w:hAnsi="Arial" w:cs="Arial"/>
          <w:b/>
          <w:bCs/>
          <w:iCs/>
          <w:sz w:val="18"/>
          <w:szCs w:val="18"/>
          <w:lang w:eastAsia="en-GB"/>
        </w:rPr>
      </w:pPr>
      <w:r w:rsidRPr="00E70630">
        <w:rPr>
          <w:rFonts w:ascii="Arial" w:hAnsi="Arial" w:cs="Arial"/>
          <w:sz w:val="18"/>
          <w:szCs w:val="18"/>
        </w:rPr>
        <w:t xml:space="preserve">The Service is a discretionary portfolio service intended to provide access to Business Relief (BR) qualifying investments. The Service draws from Puma Investments’ deep expertise across the spectrum of BR qualifying investments. With the Puma Heritage EPS, investors have the option to protect themselves from Inheritance Tax (IHT) during the initial </w:t>
      </w:r>
      <w:r w:rsidR="00135E7E" w:rsidRPr="00E70630">
        <w:rPr>
          <w:rFonts w:ascii="Arial" w:hAnsi="Arial" w:cs="Arial"/>
          <w:sz w:val="18"/>
          <w:szCs w:val="18"/>
        </w:rPr>
        <w:t>two-year</w:t>
      </w:r>
      <w:r w:rsidRPr="00E70630">
        <w:rPr>
          <w:rFonts w:ascii="Arial" w:hAnsi="Arial" w:cs="Arial"/>
          <w:sz w:val="18"/>
          <w:szCs w:val="18"/>
        </w:rPr>
        <w:t xml:space="preserve"> holding period. Puma Investments has taken out a</w:t>
      </w:r>
      <w:r w:rsidR="00890E2E">
        <w:rPr>
          <w:rFonts w:ascii="Arial" w:hAnsi="Arial" w:cs="Arial"/>
          <w:sz w:val="18"/>
          <w:szCs w:val="18"/>
        </w:rPr>
        <w:t>n optional life protection</w:t>
      </w:r>
      <w:r w:rsidRPr="00E70630">
        <w:rPr>
          <w:rFonts w:ascii="Arial" w:hAnsi="Arial" w:cs="Arial"/>
          <w:sz w:val="18"/>
          <w:szCs w:val="18"/>
        </w:rPr>
        <w:t xml:space="preserve"> master policy to provide investors with the peace of mind that should they die within two years of their investment in portfolio companies, an amount equal to 40% of the investment should be paid. Provided that the Insurer settles the claim, Puma Investments will assist in facilitating the payment of the proceeds to the investor’s beneficiaries, </w:t>
      </w:r>
      <w:proofErr w:type="gramStart"/>
      <w:r w:rsidRPr="00E70630">
        <w:rPr>
          <w:rFonts w:ascii="Arial" w:hAnsi="Arial" w:cs="Arial"/>
          <w:sz w:val="18"/>
          <w:szCs w:val="18"/>
        </w:rPr>
        <w:t>taking into account</w:t>
      </w:r>
      <w:proofErr w:type="gramEnd"/>
      <w:r w:rsidRPr="00E70630">
        <w:rPr>
          <w:rFonts w:ascii="Arial" w:hAnsi="Arial" w:cs="Arial"/>
          <w:sz w:val="18"/>
          <w:szCs w:val="18"/>
        </w:rPr>
        <w:t xml:space="preserve"> his or her expression of wishes.</w:t>
      </w:r>
    </w:p>
    <w:p w14:paraId="4D793586" w14:textId="77777777" w:rsidR="00E70630" w:rsidRPr="00E70630" w:rsidRDefault="00E70630" w:rsidP="00E70630">
      <w:pPr>
        <w:spacing w:after="0"/>
        <w:rPr>
          <w:rFonts w:ascii="Arial" w:hAnsi="Arial" w:cs="Arial"/>
          <w:sz w:val="18"/>
          <w:szCs w:val="18"/>
        </w:rPr>
      </w:pPr>
    </w:p>
    <w:p w14:paraId="3E072D1F" w14:textId="77777777" w:rsidR="00E70630" w:rsidRPr="00E70630" w:rsidRDefault="00E70630" w:rsidP="00E70630">
      <w:pPr>
        <w:pStyle w:val="ListParagraph"/>
        <w:spacing w:after="0"/>
        <w:rPr>
          <w:rFonts w:ascii="Arial" w:hAnsi="Arial" w:cs="Arial"/>
          <w:sz w:val="18"/>
          <w:szCs w:val="18"/>
        </w:rPr>
      </w:pPr>
    </w:p>
    <w:p w14:paraId="345AD721" w14:textId="0D479CEA" w:rsidR="00E70630" w:rsidRPr="00821835" w:rsidRDefault="00E70630" w:rsidP="00E70630">
      <w:pPr>
        <w:spacing w:after="0"/>
        <w:rPr>
          <w:rFonts w:ascii="Arial" w:hAnsi="Arial" w:cs="Arial"/>
          <w:b/>
          <w:sz w:val="18"/>
          <w:szCs w:val="18"/>
          <w:u w:val="single"/>
        </w:rPr>
      </w:pPr>
      <w:r w:rsidRPr="00821835">
        <w:rPr>
          <w:rFonts w:ascii="Arial" w:hAnsi="Arial" w:cs="Arial"/>
          <w:b/>
          <w:sz w:val="18"/>
          <w:szCs w:val="18"/>
          <w:u w:val="single"/>
        </w:rPr>
        <w:t>An established manager with a proven track record</w:t>
      </w:r>
    </w:p>
    <w:p w14:paraId="0F5B6CAA" w14:textId="77777777" w:rsidR="00E70630" w:rsidRPr="00E70630" w:rsidRDefault="00E70630" w:rsidP="00E70630">
      <w:pPr>
        <w:spacing w:after="0"/>
        <w:rPr>
          <w:rFonts w:ascii="Arial" w:hAnsi="Arial" w:cs="Arial"/>
          <w:b/>
          <w:sz w:val="18"/>
          <w:szCs w:val="18"/>
        </w:rPr>
      </w:pPr>
    </w:p>
    <w:p w14:paraId="26860AB6" w14:textId="49AA0CE5" w:rsidR="00E70630" w:rsidRPr="00E70630" w:rsidRDefault="00E70630" w:rsidP="00E70630">
      <w:pPr>
        <w:spacing w:after="0"/>
        <w:rPr>
          <w:rFonts w:ascii="Arial" w:hAnsi="Arial" w:cs="Arial"/>
          <w:sz w:val="18"/>
          <w:szCs w:val="18"/>
        </w:rPr>
      </w:pPr>
      <w:r w:rsidRPr="00E70630">
        <w:rPr>
          <w:rFonts w:ascii="Arial" w:hAnsi="Arial" w:cs="Arial"/>
          <w:sz w:val="18"/>
          <w:szCs w:val="18"/>
        </w:rPr>
        <w:t>Puma Investments has an extensive track record of making BR qualifying investments across the full spectrum of BR qualifying investment opportunities, from private trading companies through to listed equity investments managed by Puma Investments’ award-winning AIM team.</w:t>
      </w:r>
    </w:p>
    <w:p w14:paraId="55C14084" w14:textId="77777777" w:rsidR="00E70630" w:rsidRPr="00535C1B" w:rsidRDefault="00E70630" w:rsidP="00E70630">
      <w:pPr>
        <w:spacing w:after="0"/>
        <w:rPr>
          <w:rFonts w:ascii="Arial" w:hAnsi="Arial" w:cs="Arial"/>
          <w:sz w:val="18"/>
          <w:szCs w:val="18"/>
        </w:rPr>
      </w:pPr>
    </w:p>
    <w:p w14:paraId="10FFE6EA" w14:textId="44ACDABD" w:rsidR="00E6069E" w:rsidRPr="00535C1B" w:rsidRDefault="00E6069E" w:rsidP="00535C1B">
      <w:pPr>
        <w:spacing w:after="0"/>
        <w:rPr>
          <w:rFonts w:ascii="Arial" w:hAnsi="Arial" w:cs="Arial"/>
          <w:sz w:val="18"/>
          <w:szCs w:val="18"/>
        </w:rPr>
      </w:pPr>
      <w:r w:rsidRPr="00E6069E">
        <w:rPr>
          <w:rFonts w:ascii="Arial" w:hAnsi="Arial" w:cs="Arial"/>
          <w:sz w:val="18"/>
          <w:szCs w:val="18"/>
        </w:rPr>
        <w:t>Puma Capital Group grew out of the Shore Capital Group - a privately held, independent investment group that specialises in equity capital market activities, alternative asset management and principal finance</w:t>
      </w:r>
      <w:r w:rsidR="00142CB1" w:rsidRPr="00535C1B">
        <w:rPr>
          <w:rFonts w:ascii="Arial" w:hAnsi="Arial" w:cs="Arial"/>
          <w:sz w:val="18"/>
          <w:szCs w:val="18"/>
        </w:rPr>
        <w:t xml:space="preserve"> with circa 200 employees</w:t>
      </w:r>
      <w:r w:rsidRPr="00E6069E">
        <w:rPr>
          <w:rFonts w:ascii="Arial" w:hAnsi="Arial" w:cs="Arial"/>
          <w:sz w:val="18"/>
          <w:szCs w:val="18"/>
        </w:rPr>
        <w:t xml:space="preserve">. With close to 40 years of heritage behind them, the Shore Capital Group is highly regarded across their specialist markets in which they </w:t>
      </w:r>
      <w:proofErr w:type="gramStart"/>
      <w:r w:rsidRPr="00E6069E">
        <w:rPr>
          <w:rFonts w:ascii="Arial" w:hAnsi="Arial" w:cs="Arial"/>
          <w:sz w:val="18"/>
          <w:szCs w:val="18"/>
        </w:rPr>
        <w:t>operate</w:t>
      </w:r>
      <w:proofErr w:type="gramEnd"/>
      <w:r w:rsidRPr="00E6069E">
        <w:rPr>
          <w:rFonts w:ascii="Arial" w:hAnsi="Arial" w:cs="Arial"/>
          <w:sz w:val="18"/>
          <w:szCs w:val="18"/>
        </w:rPr>
        <w:t xml:space="preserve"> and we are proud to have this legacy.</w:t>
      </w:r>
      <w:r w:rsidR="00535C1B" w:rsidRPr="00535C1B">
        <w:rPr>
          <w:rFonts w:ascii="Arial" w:hAnsi="Arial" w:cs="Arial"/>
          <w:sz w:val="18"/>
          <w:szCs w:val="18"/>
        </w:rPr>
        <w:t xml:space="preserve"> Shore Capital Group manages circa £1.8bn. Puma Investments specialises in tax-efficient investing, including Inheritance Tax Services, VCTs and EIS and manages </w:t>
      </w:r>
      <w:r w:rsidR="00DC37D3">
        <w:rPr>
          <w:rFonts w:ascii="Arial" w:hAnsi="Arial" w:cs="Arial"/>
          <w:sz w:val="18"/>
          <w:szCs w:val="18"/>
        </w:rPr>
        <w:t>over</w:t>
      </w:r>
      <w:r w:rsidR="00535C1B" w:rsidRPr="00535C1B">
        <w:rPr>
          <w:rFonts w:ascii="Arial" w:hAnsi="Arial" w:cs="Arial"/>
          <w:sz w:val="18"/>
          <w:szCs w:val="18"/>
        </w:rPr>
        <w:t xml:space="preserve"> £</w:t>
      </w:r>
      <w:r w:rsidR="00DC37D3">
        <w:rPr>
          <w:rFonts w:ascii="Arial" w:hAnsi="Arial" w:cs="Arial"/>
          <w:sz w:val="18"/>
          <w:szCs w:val="18"/>
        </w:rPr>
        <w:t>1 billion</w:t>
      </w:r>
      <w:r w:rsidR="00535C1B" w:rsidRPr="00535C1B">
        <w:rPr>
          <w:rFonts w:ascii="Arial" w:hAnsi="Arial" w:cs="Arial"/>
          <w:sz w:val="18"/>
          <w:szCs w:val="18"/>
        </w:rPr>
        <w:t xml:space="preserve">. </w:t>
      </w:r>
    </w:p>
    <w:p w14:paraId="37392810" w14:textId="77777777" w:rsidR="00535C1B" w:rsidRPr="00E6069E" w:rsidRDefault="00535C1B" w:rsidP="00535C1B">
      <w:pPr>
        <w:spacing w:after="0"/>
        <w:rPr>
          <w:rFonts w:ascii="Arial" w:hAnsi="Arial" w:cs="Arial"/>
          <w:sz w:val="18"/>
          <w:szCs w:val="18"/>
        </w:rPr>
      </w:pPr>
    </w:p>
    <w:p w14:paraId="3E086762" w14:textId="444A6B6F" w:rsidR="005E30F0" w:rsidRDefault="00E6069E" w:rsidP="00E6069E">
      <w:pPr>
        <w:rPr>
          <w:rFonts w:ascii="Arial" w:hAnsi="Arial" w:cs="Arial"/>
          <w:b/>
          <w:sz w:val="18"/>
          <w:szCs w:val="18"/>
        </w:rPr>
      </w:pPr>
      <w:r w:rsidRPr="00535C1B">
        <w:rPr>
          <w:rFonts w:ascii="Arial" w:hAnsi="Arial" w:cs="Arial"/>
          <w:sz w:val="18"/>
          <w:szCs w:val="18"/>
        </w:rPr>
        <w:t xml:space="preserve">In 2012, Puma was established as an independent company. It was initially created to build upon a series of Venture Capital Trusts (VCTs), known as the Puma VCTs, which had been successfully designed and managed for </w:t>
      </w:r>
      <w:proofErr w:type="gramStart"/>
      <w:r w:rsidRPr="00535C1B">
        <w:rPr>
          <w:rFonts w:ascii="Arial" w:hAnsi="Arial" w:cs="Arial"/>
          <w:sz w:val="18"/>
          <w:szCs w:val="18"/>
        </w:rPr>
        <w:t>a number of</w:t>
      </w:r>
      <w:proofErr w:type="gramEnd"/>
      <w:r w:rsidRPr="00535C1B">
        <w:rPr>
          <w:rFonts w:ascii="Arial" w:hAnsi="Arial" w:cs="Arial"/>
          <w:sz w:val="18"/>
          <w:szCs w:val="18"/>
        </w:rPr>
        <w:t xml:space="preserve"> years by Shore Capital.</w:t>
      </w:r>
      <w:r w:rsidRPr="00E6069E">
        <w:rPr>
          <w:rFonts w:ascii="Arial" w:hAnsi="Arial" w:cs="Arial"/>
          <w:b/>
          <w:sz w:val="18"/>
          <w:szCs w:val="18"/>
        </w:rPr>
        <w:t xml:space="preserve"> </w:t>
      </w:r>
      <w:r w:rsidR="005E30F0">
        <w:rPr>
          <w:rFonts w:ascii="Arial" w:hAnsi="Arial" w:cs="Arial"/>
          <w:b/>
          <w:sz w:val="18"/>
          <w:szCs w:val="18"/>
        </w:rPr>
        <w:br w:type="page"/>
      </w:r>
    </w:p>
    <w:p w14:paraId="71D4F951" w14:textId="4C1ADFCC" w:rsidR="00E70630" w:rsidRPr="00E70630" w:rsidRDefault="00E70630" w:rsidP="00E70630">
      <w:pPr>
        <w:spacing w:after="0"/>
        <w:rPr>
          <w:rFonts w:ascii="Arial" w:hAnsi="Arial" w:cs="Arial"/>
          <w:b/>
          <w:sz w:val="18"/>
          <w:szCs w:val="18"/>
        </w:rPr>
      </w:pPr>
      <w:r w:rsidRPr="00E70630">
        <w:rPr>
          <w:rFonts w:ascii="Arial" w:hAnsi="Arial" w:cs="Arial"/>
          <w:b/>
          <w:sz w:val="18"/>
          <w:szCs w:val="18"/>
        </w:rPr>
        <w:lastRenderedPageBreak/>
        <w:t>The IHT advantages</w:t>
      </w:r>
    </w:p>
    <w:p w14:paraId="472851CF" w14:textId="77777777" w:rsidR="00E70630" w:rsidRDefault="00E70630" w:rsidP="00E70630">
      <w:pPr>
        <w:spacing w:after="0"/>
        <w:rPr>
          <w:rFonts w:ascii="Arial" w:hAnsi="Arial" w:cs="Arial"/>
          <w:sz w:val="18"/>
          <w:szCs w:val="18"/>
        </w:rPr>
      </w:pPr>
    </w:p>
    <w:p w14:paraId="126D91D0" w14:textId="4FE2FF6F" w:rsidR="00E70630" w:rsidRPr="00E70630" w:rsidRDefault="00E70630" w:rsidP="00E70630">
      <w:pPr>
        <w:spacing w:after="0"/>
        <w:rPr>
          <w:rFonts w:ascii="Arial" w:hAnsi="Arial" w:cs="Arial"/>
          <w:sz w:val="18"/>
          <w:szCs w:val="18"/>
        </w:rPr>
      </w:pPr>
      <w:r w:rsidRPr="00E70630">
        <w:rPr>
          <w:rFonts w:ascii="Arial" w:hAnsi="Arial" w:cs="Arial"/>
          <w:sz w:val="18"/>
          <w:szCs w:val="18"/>
        </w:rPr>
        <w:t>Under current legislation, an individual’s estate can lose up to 40% of its value to Inheritance Tax. Unlike gift or trust solutions, which can take seven years to be fully exempt from Inheritance Tax, any subscription to the Service is intended to benefit from 100% relief from Inheritance Tax after just two years.</w:t>
      </w:r>
      <w:r w:rsidR="003F3910">
        <w:rPr>
          <w:rStyle w:val="FootnoteReference"/>
          <w:rFonts w:ascii="Arial" w:hAnsi="Arial" w:cs="Arial"/>
          <w:sz w:val="18"/>
          <w:szCs w:val="18"/>
        </w:rPr>
        <w:footnoteReference w:id="2"/>
      </w:r>
      <w:r w:rsidRPr="00E70630">
        <w:rPr>
          <w:rFonts w:ascii="Arial" w:hAnsi="Arial" w:cs="Arial"/>
          <w:sz w:val="18"/>
          <w:szCs w:val="18"/>
        </w:rPr>
        <w:t xml:space="preserve"> </w:t>
      </w:r>
    </w:p>
    <w:p w14:paraId="107F95EF" w14:textId="77777777" w:rsidR="00E70630" w:rsidRPr="00E70630" w:rsidRDefault="00E70630" w:rsidP="00E70630">
      <w:pPr>
        <w:spacing w:after="0"/>
        <w:rPr>
          <w:rFonts w:ascii="Arial" w:hAnsi="Arial" w:cs="Arial"/>
          <w:sz w:val="18"/>
          <w:szCs w:val="18"/>
        </w:rPr>
      </w:pPr>
    </w:p>
    <w:p w14:paraId="09A79C3D" w14:textId="77777777" w:rsidR="00E70630" w:rsidRPr="00E70630" w:rsidRDefault="00E70630" w:rsidP="00E70630">
      <w:pPr>
        <w:spacing w:after="0"/>
        <w:rPr>
          <w:rFonts w:ascii="Arial" w:hAnsi="Arial" w:cs="Arial"/>
          <w:sz w:val="18"/>
          <w:szCs w:val="18"/>
        </w:rPr>
      </w:pPr>
      <w:r w:rsidRPr="00E70630">
        <w:rPr>
          <w:rFonts w:ascii="Arial" w:hAnsi="Arial" w:cs="Arial"/>
          <w:sz w:val="18"/>
          <w:szCs w:val="18"/>
        </w:rPr>
        <w:t>In addition, investors will not lose permanent control of their assets as is the case when making a gift or placing assets in trust. Furthermore, an investor shall be entitled to request a withdrawal of cash and/or assets held in his/her portfolio at any time by giving written notice to the Manager. At least 30 days’ notice is required for withdrawal of investments. Upon receipt of that notice, the Manager shall arrange for the transfer of the investor’s cash and/or assets as directed by the investor. In respect of withdrawals, the investor should note that he/she may lose Business Relief in respect of investments held in the portfolio and recognise that investments comprise non-readily realisable investments and so any withdrawal will be subject to liquidity (from a timing perspective).</w:t>
      </w:r>
    </w:p>
    <w:p w14:paraId="7E217C4A" w14:textId="77777777" w:rsidR="00E70630" w:rsidRPr="00E70630" w:rsidRDefault="00E70630" w:rsidP="00E70630">
      <w:pPr>
        <w:spacing w:after="0"/>
        <w:rPr>
          <w:rFonts w:ascii="Arial" w:hAnsi="Arial" w:cs="Arial"/>
          <w:b/>
          <w:sz w:val="18"/>
          <w:szCs w:val="18"/>
          <w:u w:val="single"/>
        </w:rPr>
      </w:pPr>
    </w:p>
    <w:p w14:paraId="0FB2201E" w14:textId="77777777" w:rsidR="00E70630" w:rsidRDefault="00E70630" w:rsidP="00E70630">
      <w:pPr>
        <w:spacing w:after="0"/>
        <w:rPr>
          <w:rFonts w:ascii="Arial" w:hAnsi="Arial" w:cs="Arial"/>
          <w:b/>
          <w:sz w:val="18"/>
          <w:szCs w:val="18"/>
          <w:u w:val="single"/>
        </w:rPr>
      </w:pPr>
    </w:p>
    <w:p w14:paraId="65AA228F" w14:textId="70D753AE" w:rsidR="00E70630" w:rsidRPr="00E70630" w:rsidRDefault="00E70630" w:rsidP="00E70630">
      <w:pPr>
        <w:spacing w:after="0"/>
        <w:rPr>
          <w:rFonts w:ascii="Arial" w:hAnsi="Arial" w:cs="Arial"/>
          <w:b/>
          <w:sz w:val="18"/>
          <w:szCs w:val="18"/>
        </w:rPr>
      </w:pPr>
      <w:r w:rsidRPr="00E70630">
        <w:rPr>
          <w:rFonts w:ascii="Arial" w:hAnsi="Arial" w:cs="Arial"/>
          <w:b/>
          <w:sz w:val="18"/>
          <w:szCs w:val="18"/>
        </w:rPr>
        <w:t>Life Protection</w:t>
      </w:r>
    </w:p>
    <w:p w14:paraId="4AFCB592" w14:textId="77777777" w:rsidR="00E70630" w:rsidRPr="00E70630" w:rsidRDefault="00E70630" w:rsidP="00E70630">
      <w:pPr>
        <w:spacing w:after="0"/>
        <w:rPr>
          <w:rFonts w:ascii="Arial" w:hAnsi="Arial" w:cs="Arial"/>
          <w:sz w:val="18"/>
          <w:szCs w:val="18"/>
        </w:rPr>
      </w:pPr>
      <w:r w:rsidRPr="00E70630">
        <w:rPr>
          <w:rFonts w:ascii="Arial" w:hAnsi="Arial" w:cs="Arial"/>
          <w:sz w:val="18"/>
          <w:szCs w:val="18"/>
        </w:rPr>
        <w:t>The Service offers investors the option of two-year life protection to mitigate the potential impact of Inheritance Tax in the first two years.</w:t>
      </w:r>
    </w:p>
    <w:p w14:paraId="5BCE71E9" w14:textId="77777777" w:rsidR="00E70630" w:rsidRPr="00E70630" w:rsidRDefault="00E70630" w:rsidP="00E70630">
      <w:pPr>
        <w:spacing w:after="0"/>
        <w:rPr>
          <w:rFonts w:ascii="Arial" w:hAnsi="Arial" w:cs="Arial"/>
          <w:sz w:val="18"/>
          <w:szCs w:val="18"/>
        </w:rPr>
      </w:pPr>
    </w:p>
    <w:p w14:paraId="19F4E99D" w14:textId="77777777" w:rsidR="00E70630" w:rsidRPr="00E70630" w:rsidRDefault="00E70630" w:rsidP="00E70630">
      <w:pPr>
        <w:spacing w:after="0"/>
        <w:rPr>
          <w:rFonts w:ascii="Arial" w:hAnsi="Arial" w:cs="Arial"/>
          <w:sz w:val="18"/>
          <w:szCs w:val="18"/>
        </w:rPr>
      </w:pPr>
      <w:r w:rsidRPr="00E70630">
        <w:rPr>
          <w:rFonts w:ascii="Arial" w:hAnsi="Arial" w:cs="Arial"/>
          <w:sz w:val="18"/>
          <w:szCs w:val="18"/>
        </w:rPr>
        <w:t>If the life protection is not taken, then unlike many other IHT planning solutions (such as gifts or trusts) the investor should benefit from BR after a two-year holding period, rather than waiting seven years, providing that the shares are held at the point of death.</w:t>
      </w:r>
    </w:p>
    <w:p w14:paraId="63B2EA13" w14:textId="77777777" w:rsidR="00E70630" w:rsidRPr="00E70630" w:rsidRDefault="00E70630" w:rsidP="00E70630">
      <w:pPr>
        <w:spacing w:after="0"/>
        <w:rPr>
          <w:rFonts w:ascii="Arial" w:hAnsi="Arial" w:cs="Arial"/>
          <w:sz w:val="18"/>
          <w:szCs w:val="18"/>
        </w:rPr>
      </w:pPr>
    </w:p>
    <w:p w14:paraId="326F7C7B" w14:textId="77777777" w:rsidR="00E70630" w:rsidRDefault="00E70630" w:rsidP="00E70630">
      <w:pPr>
        <w:spacing w:after="0"/>
        <w:rPr>
          <w:rFonts w:ascii="Arial" w:hAnsi="Arial" w:cs="Arial"/>
          <w:b/>
          <w:sz w:val="18"/>
          <w:szCs w:val="18"/>
          <w:u w:val="single"/>
        </w:rPr>
      </w:pPr>
    </w:p>
    <w:p w14:paraId="61CAC406" w14:textId="134F6663" w:rsidR="00E70630" w:rsidRPr="00E70630" w:rsidRDefault="00E70630" w:rsidP="00E70630">
      <w:pPr>
        <w:spacing w:after="0"/>
        <w:rPr>
          <w:rFonts w:ascii="Arial" w:hAnsi="Arial" w:cs="Arial"/>
          <w:b/>
          <w:sz w:val="18"/>
          <w:szCs w:val="18"/>
        </w:rPr>
      </w:pPr>
      <w:r w:rsidRPr="00E70630">
        <w:rPr>
          <w:rFonts w:ascii="Arial" w:hAnsi="Arial" w:cs="Arial"/>
          <w:b/>
          <w:sz w:val="18"/>
          <w:szCs w:val="18"/>
        </w:rPr>
        <w:t xml:space="preserve">Life Protection </w:t>
      </w:r>
      <w:r>
        <w:rPr>
          <w:rFonts w:ascii="Arial" w:hAnsi="Arial" w:cs="Arial"/>
          <w:b/>
          <w:sz w:val="18"/>
          <w:szCs w:val="18"/>
        </w:rPr>
        <w:t>k</w:t>
      </w:r>
      <w:r w:rsidRPr="00E70630">
        <w:rPr>
          <w:rFonts w:ascii="Arial" w:hAnsi="Arial" w:cs="Arial"/>
          <w:b/>
          <w:sz w:val="18"/>
          <w:szCs w:val="18"/>
        </w:rPr>
        <w:t xml:space="preserve">ey </w:t>
      </w:r>
      <w:r>
        <w:rPr>
          <w:rFonts w:ascii="Arial" w:hAnsi="Arial" w:cs="Arial"/>
          <w:b/>
          <w:sz w:val="18"/>
          <w:szCs w:val="18"/>
        </w:rPr>
        <w:t>f</w:t>
      </w:r>
      <w:r w:rsidRPr="00E70630">
        <w:rPr>
          <w:rFonts w:ascii="Arial" w:hAnsi="Arial" w:cs="Arial"/>
          <w:b/>
          <w:sz w:val="18"/>
          <w:szCs w:val="18"/>
        </w:rPr>
        <w:t>acts</w:t>
      </w:r>
    </w:p>
    <w:p w14:paraId="3ACF1450" w14:textId="77777777" w:rsidR="00E70630" w:rsidRPr="00E70630" w:rsidRDefault="00E70630" w:rsidP="00E70630">
      <w:pPr>
        <w:pStyle w:val="ListParagraph"/>
        <w:numPr>
          <w:ilvl w:val="0"/>
          <w:numId w:val="13"/>
        </w:numPr>
        <w:spacing w:after="0"/>
        <w:rPr>
          <w:rFonts w:ascii="Arial" w:hAnsi="Arial" w:cs="Arial"/>
          <w:sz w:val="18"/>
          <w:szCs w:val="18"/>
        </w:rPr>
      </w:pPr>
      <w:r w:rsidRPr="00E70630">
        <w:rPr>
          <w:rFonts w:ascii="Arial" w:hAnsi="Arial" w:cs="Arial"/>
          <w:b/>
          <w:bCs/>
          <w:sz w:val="18"/>
          <w:szCs w:val="18"/>
        </w:rPr>
        <w:t>Term:</w:t>
      </w:r>
      <w:r w:rsidRPr="00E70630">
        <w:rPr>
          <w:rFonts w:ascii="Arial" w:hAnsi="Arial" w:cs="Arial"/>
          <w:sz w:val="18"/>
          <w:szCs w:val="18"/>
        </w:rPr>
        <w:t xml:space="preserve"> Two years</w:t>
      </w:r>
    </w:p>
    <w:p w14:paraId="354B1DC0" w14:textId="77777777" w:rsidR="00E70630" w:rsidRPr="00E70630" w:rsidRDefault="00E70630" w:rsidP="00E70630">
      <w:pPr>
        <w:pStyle w:val="ListParagraph"/>
        <w:numPr>
          <w:ilvl w:val="0"/>
          <w:numId w:val="13"/>
        </w:numPr>
        <w:spacing w:after="0"/>
        <w:rPr>
          <w:rFonts w:ascii="Arial" w:hAnsi="Arial" w:cs="Arial"/>
          <w:sz w:val="18"/>
          <w:szCs w:val="18"/>
        </w:rPr>
      </w:pPr>
      <w:r w:rsidRPr="00E70630">
        <w:rPr>
          <w:rFonts w:ascii="Arial" w:hAnsi="Arial" w:cs="Arial"/>
          <w:b/>
          <w:bCs/>
          <w:sz w:val="18"/>
          <w:szCs w:val="18"/>
        </w:rPr>
        <w:t>Pay-out:</w:t>
      </w:r>
      <w:r w:rsidRPr="00E70630">
        <w:rPr>
          <w:rFonts w:ascii="Arial" w:hAnsi="Arial" w:cs="Arial"/>
          <w:sz w:val="18"/>
          <w:szCs w:val="18"/>
        </w:rPr>
        <w:t xml:space="preserve"> 40% of original investment on death</w:t>
      </w:r>
    </w:p>
    <w:p w14:paraId="1DC11CAE" w14:textId="5CB2EA76" w:rsidR="00E70630" w:rsidRPr="00E70630" w:rsidRDefault="00E70630" w:rsidP="00E70630">
      <w:pPr>
        <w:pStyle w:val="ListParagraph"/>
        <w:numPr>
          <w:ilvl w:val="0"/>
          <w:numId w:val="13"/>
        </w:numPr>
        <w:spacing w:after="0"/>
        <w:rPr>
          <w:rFonts w:ascii="Arial" w:hAnsi="Arial" w:cs="Arial"/>
          <w:sz w:val="18"/>
          <w:szCs w:val="18"/>
        </w:rPr>
      </w:pPr>
      <w:r w:rsidRPr="00E70630">
        <w:rPr>
          <w:rFonts w:ascii="Arial" w:hAnsi="Arial" w:cs="Arial"/>
          <w:b/>
          <w:bCs/>
          <w:sz w:val="18"/>
          <w:szCs w:val="18"/>
        </w:rPr>
        <w:t xml:space="preserve">Maximum </w:t>
      </w:r>
      <w:r>
        <w:rPr>
          <w:rFonts w:ascii="Arial" w:hAnsi="Arial" w:cs="Arial"/>
          <w:b/>
          <w:bCs/>
          <w:sz w:val="18"/>
          <w:szCs w:val="18"/>
        </w:rPr>
        <w:t>p</w:t>
      </w:r>
      <w:r w:rsidRPr="00E70630">
        <w:rPr>
          <w:rFonts w:ascii="Arial" w:hAnsi="Arial" w:cs="Arial"/>
          <w:b/>
          <w:bCs/>
          <w:sz w:val="18"/>
          <w:szCs w:val="18"/>
        </w:rPr>
        <w:t>ay-out:</w:t>
      </w:r>
      <w:r w:rsidRPr="00E70630">
        <w:rPr>
          <w:rFonts w:ascii="Arial" w:hAnsi="Arial" w:cs="Arial"/>
          <w:sz w:val="18"/>
          <w:szCs w:val="18"/>
        </w:rPr>
        <w:t xml:space="preserve"> £</w:t>
      </w:r>
      <w:r w:rsidR="00C71F35">
        <w:rPr>
          <w:rFonts w:ascii="Arial" w:hAnsi="Arial" w:cs="Arial"/>
          <w:sz w:val="18"/>
          <w:szCs w:val="18"/>
        </w:rPr>
        <w:t>200</w:t>
      </w:r>
      <w:r w:rsidRPr="00E70630">
        <w:rPr>
          <w:rFonts w:ascii="Arial" w:hAnsi="Arial" w:cs="Arial"/>
          <w:sz w:val="18"/>
          <w:szCs w:val="18"/>
        </w:rPr>
        <w:t>,000 on an investment of £</w:t>
      </w:r>
      <w:r w:rsidR="00C71F35">
        <w:rPr>
          <w:rFonts w:ascii="Arial" w:hAnsi="Arial" w:cs="Arial"/>
          <w:sz w:val="18"/>
          <w:szCs w:val="18"/>
        </w:rPr>
        <w:t>500</w:t>
      </w:r>
      <w:r w:rsidRPr="00E70630">
        <w:rPr>
          <w:rFonts w:ascii="Arial" w:hAnsi="Arial" w:cs="Arial"/>
          <w:sz w:val="18"/>
          <w:szCs w:val="18"/>
        </w:rPr>
        <w:t>,000</w:t>
      </w:r>
    </w:p>
    <w:p w14:paraId="1475EF18" w14:textId="52E88BD4" w:rsidR="00E70630" w:rsidRPr="00E70630" w:rsidRDefault="00E70630" w:rsidP="00E70630">
      <w:pPr>
        <w:pStyle w:val="ListParagraph"/>
        <w:numPr>
          <w:ilvl w:val="0"/>
          <w:numId w:val="13"/>
        </w:numPr>
        <w:spacing w:after="0"/>
        <w:rPr>
          <w:rFonts w:ascii="Arial" w:hAnsi="Arial" w:cs="Arial"/>
          <w:sz w:val="18"/>
          <w:szCs w:val="18"/>
        </w:rPr>
      </w:pPr>
      <w:r w:rsidRPr="00E70630">
        <w:rPr>
          <w:rFonts w:ascii="Arial" w:hAnsi="Arial" w:cs="Arial"/>
          <w:b/>
          <w:bCs/>
          <w:sz w:val="18"/>
          <w:szCs w:val="18"/>
        </w:rPr>
        <w:t>Maximum age:</w:t>
      </w:r>
      <w:r w:rsidRPr="00E70630">
        <w:rPr>
          <w:rFonts w:ascii="Arial" w:hAnsi="Arial" w:cs="Arial"/>
          <w:sz w:val="18"/>
          <w:szCs w:val="18"/>
        </w:rPr>
        <w:t xml:space="preserve"> 88 years and two months at the investment date</w:t>
      </w:r>
    </w:p>
    <w:p w14:paraId="0B6221D2" w14:textId="77777777" w:rsidR="00E70630" w:rsidRDefault="00E70630" w:rsidP="00E70630">
      <w:pPr>
        <w:pStyle w:val="ListParagraph"/>
        <w:numPr>
          <w:ilvl w:val="0"/>
          <w:numId w:val="13"/>
        </w:numPr>
        <w:spacing w:after="0"/>
        <w:rPr>
          <w:rFonts w:ascii="Arial" w:hAnsi="Arial" w:cs="Arial"/>
          <w:sz w:val="18"/>
          <w:szCs w:val="18"/>
        </w:rPr>
      </w:pPr>
      <w:r w:rsidRPr="00E70630">
        <w:rPr>
          <w:rFonts w:ascii="Arial" w:hAnsi="Arial" w:cs="Arial"/>
          <w:b/>
          <w:bCs/>
          <w:sz w:val="18"/>
          <w:szCs w:val="18"/>
        </w:rPr>
        <w:t>Assessment:</w:t>
      </w:r>
      <w:r w:rsidRPr="00E70630">
        <w:rPr>
          <w:rFonts w:ascii="Arial" w:hAnsi="Arial" w:cs="Arial"/>
          <w:sz w:val="18"/>
          <w:szCs w:val="18"/>
        </w:rPr>
        <w:t xml:space="preserve"> Medical exclusions apply (please refer to the Investor Agreement for full details)</w:t>
      </w:r>
    </w:p>
    <w:p w14:paraId="44320714" w14:textId="7040B39D" w:rsidR="00DC37D3" w:rsidRPr="00772FB0" w:rsidRDefault="00DC37D3" w:rsidP="00772FB0">
      <w:pPr>
        <w:pStyle w:val="ListParagraph"/>
        <w:numPr>
          <w:ilvl w:val="0"/>
          <w:numId w:val="13"/>
        </w:numPr>
        <w:spacing w:after="0"/>
        <w:rPr>
          <w:rFonts w:ascii="Arial" w:hAnsi="Arial" w:cs="Arial"/>
          <w:sz w:val="18"/>
          <w:szCs w:val="18"/>
        </w:rPr>
      </w:pPr>
      <w:r>
        <w:rPr>
          <w:rFonts w:ascii="Arial" w:hAnsi="Arial" w:cs="Arial"/>
          <w:b/>
          <w:bCs/>
          <w:sz w:val="18"/>
          <w:szCs w:val="18"/>
        </w:rPr>
        <w:t>Premiums:</w:t>
      </w:r>
      <w:r>
        <w:rPr>
          <w:rFonts w:ascii="Arial" w:hAnsi="Arial" w:cs="Arial"/>
          <w:sz w:val="18"/>
          <w:szCs w:val="18"/>
        </w:rPr>
        <w:t xml:space="preserve"> </w:t>
      </w:r>
      <w:r w:rsidR="00772FB0">
        <w:rPr>
          <w:rFonts w:ascii="Arial" w:hAnsi="Arial" w:cs="Arial"/>
          <w:sz w:val="18"/>
          <w:szCs w:val="18"/>
        </w:rPr>
        <w:t xml:space="preserve">Vary depending on investor age </w:t>
      </w:r>
      <w:r w:rsidR="00772FB0" w:rsidRPr="00E70630">
        <w:rPr>
          <w:rFonts w:ascii="Arial" w:hAnsi="Arial" w:cs="Arial"/>
          <w:sz w:val="18"/>
          <w:szCs w:val="18"/>
        </w:rPr>
        <w:t>(please refer to the Investor Agreement for full details)</w:t>
      </w:r>
    </w:p>
    <w:p w14:paraId="4EB82E4F" w14:textId="77777777" w:rsidR="00E70630" w:rsidRPr="00E70630" w:rsidRDefault="00E70630" w:rsidP="00E70630">
      <w:pPr>
        <w:spacing w:after="0"/>
        <w:rPr>
          <w:rFonts w:ascii="Arial" w:hAnsi="Arial" w:cs="Arial"/>
          <w:sz w:val="18"/>
          <w:szCs w:val="18"/>
        </w:rPr>
      </w:pPr>
    </w:p>
    <w:p w14:paraId="4DD33F46" w14:textId="77777777" w:rsidR="00E70630" w:rsidRDefault="00E70630" w:rsidP="00E70630">
      <w:pPr>
        <w:autoSpaceDE w:val="0"/>
        <w:autoSpaceDN w:val="0"/>
        <w:adjustRightInd w:val="0"/>
        <w:spacing w:after="0"/>
        <w:rPr>
          <w:rFonts w:ascii="Arial" w:hAnsi="Arial" w:cs="Arial"/>
          <w:b/>
          <w:sz w:val="18"/>
          <w:szCs w:val="18"/>
          <w:u w:val="single"/>
        </w:rPr>
      </w:pPr>
    </w:p>
    <w:p w14:paraId="0AD56F4F" w14:textId="6EAA3265" w:rsidR="00E70630" w:rsidRPr="00D45B66" w:rsidRDefault="00E70630" w:rsidP="00E70630">
      <w:pPr>
        <w:autoSpaceDE w:val="0"/>
        <w:autoSpaceDN w:val="0"/>
        <w:adjustRightInd w:val="0"/>
        <w:spacing w:after="0"/>
        <w:rPr>
          <w:rFonts w:ascii="Arial" w:hAnsi="Arial" w:cs="Arial"/>
          <w:b/>
          <w:sz w:val="18"/>
          <w:szCs w:val="18"/>
          <w:u w:val="single"/>
        </w:rPr>
      </w:pPr>
      <w:r w:rsidRPr="00D45B66">
        <w:rPr>
          <w:rFonts w:ascii="Arial" w:hAnsi="Arial" w:cs="Arial"/>
          <w:b/>
          <w:sz w:val="18"/>
          <w:szCs w:val="18"/>
          <w:u w:val="single"/>
        </w:rPr>
        <w:t xml:space="preserve">Investment strategy – Private Trading Companies </w:t>
      </w:r>
    </w:p>
    <w:p w14:paraId="125C3538" w14:textId="77777777" w:rsidR="00E70630" w:rsidRPr="00E70630" w:rsidRDefault="00E70630" w:rsidP="00E70630">
      <w:pPr>
        <w:autoSpaceDE w:val="0"/>
        <w:autoSpaceDN w:val="0"/>
        <w:adjustRightInd w:val="0"/>
        <w:spacing w:after="0"/>
        <w:rPr>
          <w:rFonts w:ascii="Arial" w:hAnsi="Arial" w:cs="Arial"/>
          <w:b/>
          <w:sz w:val="18"/>
          <w:szCs w:val="18"/>
          <w:u w:val="single"/>
        </w:rPr>
      </w:pPr>
    </w:p>
    <w:p w14:paraId="391BDEAD" w14:textId="77777777" w:rsidR="00E70630" w:rsidRPr="00E70630" w:rsidRDefault="00E70630" w:rsidP="00E70630">
      <w:pPr>
        <w:autoSpaceDE w:val="0"/>
        <w:autoSpaceDN w:val="0"/>
        <w:adjustRightInd w:val="0"/>
        <w:spacing w:after="0"/>
        <w:rPr>
          <w:rFonts w:ascii="Arial" w:hAnsi="Arial" w:cs="Arial"/>
          <w:sz w:val="18"/>
          <w:szCs w:val="18"/>
        </w:rPr>
      </w:pPr>
      <w:r w:rsidRPr="00E70630">
        <w:rPr>
          <w:rFonts w:ascii="Arial" w:hAnsi="Arial" w:cs="Arial"/>
          <w:sz w:val="18"/>
          <w:szCs w:val="18"/>
        </w:rPr>
        <w:t>At present, the Service allocates to Puma Heritage Ltd, which focuses on first charge lending in the real estate sector. The Service therefore offers investors the opportunity to invest in businesses whose trade is first charge lending. We will invest in companies that have a strong reputation for providing senior secured loans to well-run businesses, predominantly in the real estate sector, which have experienced management teams, robust business plans and substantial tangible assets over which security may be taken.</w:t>
      </w:r>
    </w:p>
    <w:p w14:paraId="7D3A566E" w14:textId="77777777" w:rsidR="00E70630" w:rsidRPr="00E70630" w:rsidRDefault="00E70630" w:rsidP="00E70630">
      <w:pPr>
        <w:autoSpaceDE w:val="0"/>
        <w:autoSpaceDN w:val="0"/>
        <w:adjustRightInd w:val="0"/>
        <w:spacing w:after="0"/>
        <w:rPr>
          <w:rFonts w:ascii="Arial" w:hAnsi="Arial" w:cs="Arial"/>
          <w:sz w:val="18"/>
          <w:szCs w:val="18"/>
        </w:rPr>
      </w:pPr>
    </w:p>
    <w:p w14:paraId="4212B405" w14:textId="77777777" w:rsidR="00E70630" w:rsidRPr="00E70630" w:rsidRDefault="00E70630" w:rsidP="00E70630">
      <w:pPr>
        <w:autoSpaceDE w:val="0"/>
        <w:autoSpaceDN w:val="0"/>
        <w:adjustRightInd w:val="0"/>
        <w:spacing w:after="0"/>
        <w:rPr>
          <w:rFonts w:ascii="Arial" w:hAnsi="Arial" w:cs="Arial"/>
          <w:sz w:val="18"/>
          <w:szCs w:val="18"/>
        </w:rPr>
      </w:pPr>
      <w:r w:rsidRPr="00E70630">
        <w:rPr>
          <w:rFonts w:ascii="Arial" w:hAnsi="Arial" w:cs="Arial"/>
          <w:sz w:val="18"/>
          <w:szCs w:val="18"/>
        </w:rPr>
        <w:t>Puma Heritage Ltd focuses on providing secured loans that are underpinned by real estate, at conservative loan to values. We require portfolio companies to undertake a prudent underwriting approach, taking security over assets, typically being their freehold or long leasehold properties, stock or contracted revenue streams.</w:t>
      </w:r>
    </w:p>
    <w:p w14:paraId="6290F99C" w14:textId="77777777" w:rsidR="00E70630" w:rsidRPr="00E70630" w:rsidRDefault="00E70630" w:rsidP="00E70630">
      <w:pPr>
        <w:autoSpaceDE w:val="0"/>
        <w:autoSpaceDN w:val="0"/>
        <w:adjustRightInd w:val="0"/>
        <w:spacing w:after="0"/>
        <w:rPr>
          <w:rFonts w:ascii="Arial" w:hAnsi="Arial" w:cs="Arial"/>
          <w:sz w:val="18"/>
          <w:szCs w:val="18"/>
        </w:rPr>
      </w:pPr>
    </w:p>
    <w:p w14:paraId="6EC4AEAF" w14:textId="0F5CDC8F" w:rsidR="00E70630" w:rsidRPr="00E70630" w:rsidRDefault="00E70630" w:rsidP="00E70630">
      <w:pPr>
        <w:autoSpaceDE w:val="0"/>
        <w:autoSpaceDN w:val="0"/>
        <w:adjustRightInd w:val="0"/>
        <w:spacing w:after="0"/>
        <w:rPr>
          <w:rFonts w:ascii="Arial" w:hAnsi="Arial" w:cs="Arial"/>
          <w:sz w:val="18"/>
          <w:szCs w:val="18"/>
        </w:rPr>
      </w:pPr>
      <w:r w:rsidRPr="00E70630">
        <w:rPr>
          <w:rFonts w:ascii="Arial" w:hAnsi="Arial" w:cs="Arial"/>
          <w:sz w:val="18"/>
          <w:szCs w:val="18"/>
        </w:rPr>
        <w:t>Puma Investments has a strong track record in the real estate sector and acts as Trading Adviser to Puma Heritage Ltd. Specifically, Puma Property Finance is the team within Puma Investments that advises Puma Heritage Ltd on implementing its business plan. As at Q</w:t>
      </w:r>
      <w:r w:rsidR="00EF3484">
        <w:rPr>
          <w:rFonts w:ascii="Arial" w:hAnsi="Arial" w:cs="Arial"/>
          <w:sz w:val="18"/>
          <w:szCs w:val="18"/>
        </w:rPr>
        <w:t>4</w:t>
      </w:r>
      <w:r w:rsidRPr="00E70630">
        <w:rPr>
          <w:rFonts w:ascii="Arial" w:hAnsi="Arial" w:cs="Arial"/>
          <w:sz w:val="18"/>
          <w:szCs w:val="18"/>
        </w:rPr>
        <w:t xml:space="preserve"> 202</w:t>
      </w:r>
      <w:r w:rsidR="00156CEA">
        <w:rPr>
          <w:rFonts w:ascii="Arial" w:hAnsi="Arial" w:cs="Arial"/>
          <w:sz w:val="18"/>
          <w:szCs w:val="18"/>
        </w:rPr>
        <w:t>5</w:t>
      </w:r>
      <w:r w:rsidRPr="00E70630">
        <w:rPr>
          <w:rFonts w:ascii="Arial" w:hAnsi="Arial" w:cs="Arial"/>
          <w:sz w:val="18"/>
          <w:szCs w:val="18"/>
        </w:rPr>
        <w:t>, Puma Property Finance had arranged more than £</w:t>
      </w:r>
      <w:r w:rsidR="00EF3484">
        <w:rPr>
          <w:rFonts w:ascii="Arial" w:hAnsi="Arial" w:cs="Arial"/>
          <w:sz w:val="18"/>
          <w:szCs w:val="18"/>
        </w:rPr>
        <w:t>2</w:t>
      </w:r>
      <w:r w:rsidRPr="00E70630">
        <w:rPr>
          <w:rFonts w:ascii="Arial" w:hAnsi="Arial" w:cs="Arial"/>
          <w:sz w:val="18"/>
          <w:szCs w:val="18"/>
        </w:rPr>
        <w:t xml:space="preserve"> billion of real estate loans and construction projects, while incurring 0% capital losses to date. It operates with </w:t>
      </w:r>
      <w:r w:rsidRPr="00E70630">
        <w:rPr>
          <w:rFonts w:ascii="Arial" w:hAnsi="Arial" w:cs="Arial"/>
          <w:sz w:val="18"/>
          <w:szCs w:val="18"/>
        </w:rPr>
        <w:lastRenderedPageBreak/>
        <w:t>a conservative lending policy, working with experienced counterparties and typically targeting loans between £10 million to £50 million with durations of up to 3</w:t>
      </w:r>
      <w:r w:rsidR="00A67180">
        <w:rPr>
          <w:rFonts w:ascii="Arial" w:hAnsi="Arial" w:cs="Arial"/>
          <w:sz w:val="18"/>
          <w:szCs w:val="18"/>
        </w:rPr>
        <w:t>6</w:t>
      </w:r>
      <w:r w:rsidRPr="00E70630">
        <w:rPr>
          <w:rFonts w:ascii="Arial" w:hAnsi="Arial" w:cs="Arial"/>
          <w:sz w:val="18"/>
          <w:szCs w:val="18"/>
        </w:rPr>
        <w:t xml:space="preserve"> months. </w:t>
      </w:r>
    </w:p>
    <w:p w14:paraId="0A6E67B0" w14:textId="77777777" w:rsidR="00E70630" w:rsidRPr="00E70630" w:rsidRDefault="00E70630" w:rsidP="00E70630">
      <w:pPr>
        <w:autoSpaceDE w:val="0"/>
        <w:autoSpaceDN w:val="0"/>
        <w:adjustRightInd w:val="0"/>
        <w:spacing w:after="0"/>
        <w:rPr>
          <w:rFonts w:ascii="Arial" w:hAnsi="Arial" w:cs="Arial"/>
          <w:sz w:val="18"/>
          <w:szCs w:val="18"/>
        </w:rPr>
      </w:pPr>
    </w:p>
    <w:p w14:paraId="1C877000" w14:textId="77777777" w:rsidR="00E70630" w:rsidRDefault="00E70630" w:rsidP="00E70630">
      <w:pPr>
        <w:autoSpaceDE w:val="0"/>
        <w:autoSpaceDN w:val="0"/>
        <w:adjustRightInd w:val="0"/>
        <w:spacing w:after="0"/>
        <w:rPr>
          <w:rFonts w:ascii="Arial" w:hAnsi="Arial" w:cs="Arial"/>
          <w:b/>
          <w:sz w:val="18"/>
          <w:szCs w:val="18"/>
          <w:u w:val="single"/>
        </w:rPr>
      </w:pPr>
    </w:p>
    <w:p w14:paraId="1E052819" w14:textId="670CE2DA" w:rsidR="00E70630" w:rsidRPr="00C44FE5" w:rsidRDefault="00A67180" w:rsidP="00E70630">
      <w:pPr>
        <w:autoSpaceDE w:val="0"/>
        <w:autoSpaceDN w:val="0"/>
        <w:adjustRightInd w:val="0"/>
        <w:spacing w:after="0"/>
        <w:rPr>
          <w:rFonts w:ascii="Arial" w:hAnsi="Arial" w:cs="Arial"/>
          <w:b/>
          <w:sz w:val="18"/>
          <w:szCs w:val="18"/>
          <w:u w:val="single"/>
        </w:rPr>
      </w:pPr>
      <w:r w:rsidRPr="00C44FE5">
        <w:rPr>
          <w:rFonts w:ascii="Arial" w:hAnsi="Arial" w:cs="Arial"/>
          <w:b/>
          <w:sz w:val="18"/>
          <w:szCs w:val="18"/>
          <w:u w:val="single"/>
        </w:rPr>
        <w:t>D</w:t>
      </w:r>
      <w:r w:rsidR="00E70630" w:rsidRPr="00C44FE5">
        <w:rPr>
          <w:rFonts w:ascii="Arial" w:hAnsi="Arial" w:cs="Arial"/>
          <w:b/>
          <w:sz w:val="18"/>
          <w:szCs w:val="18"/>
          <w:u w:val="single"/>
        </w:rPr>
        <w:t>eveloping the Service’s investment strategy</w:t>
      </w:r>
    </w:p>
    <w:p w14:paraId="04CDE613" w14:textId="77777777" w:rsidR="00D45B66" w:rsidRDefault="00E70630" w:rsidP="00D45B66">
      <w:pPr>
        <w:autoSpaceDE w:val="0"/>
        <w:autoSpaceDN w:val="0"/>
        <w:adjustRightInd w:val="0"/>
        <w:spacing w:after="0"/>
        <w:ind w:left="720"/>
        <w:rPr>
          <w:rFonts w:ascii="Arial" w:hAnsi="Arial" w:cs="Arial"/>
          <w:sz w:val="18"/>
          <w:szCs w:val="18"/>
        </w:rPr>
      </w:pPr>
      <w:r w:rsidRPr="00E70630">
        <w:rPr>
          <w:rFonts w:ascii="Arial" w:hAnsi="Arial" w:cs="Arial"/>
          <w:sz w:val="18"/>
          <w:szCs w:val="18"/>
        </w:rPr>
        <w:br/>
      </w:r>
      <w:r w:rsidR="00D45B66" w:rsidRPr="00D45B66">
        <w:rPr>
          <w:rFonts w:ascii="Arial" w:hAnsi="Arial" w:cs="Arial"/>
          <w:sz w:val="18"/>
          <w:szCs w:val="18"/>
        </w:rPr>
        <w:t>In addition to secured lending, the Manager believes there may be opportunities to invest in trading businesses focusing on asset leasing. Asset leasing companies generate income by leasing out assets, such as plant, machinery or vehicles, they own to organisations which will use the assets in their businesses to operate and grow. The asset leasing company receives a regular operating income which is underpinned by the value of the portfolio of underlying leased assets.</w:t>
      </w:r>
    </w:p>
    <w:p w14:paraId="653666E4" w14:textId="77777777" w:rsidR="00D45B66" w:rsidRPr="00D45B66" w:rsidRDefault="00D45B66" w:rsidP="00D45B66">
      <w:pPr>
        <w:autoSpaceDE w:val="0"/>
        <w:autoSpaceDN w:val="0"/>
        <w:adjustRightInd w:val="0"/>
        <w:spacing w:after="0"/>
        <w:ind w:left="720"/>
        <w:rPr>
          <w:rFonts w:ascii="Arial" w:hAnsi="Arial" w:cs="Arial"/>
          <w:sz w:val="18"/>
          <w:szCs w:val="18"/>
        </w:rPr>
      </w:pPr>
    </w:p>
    <w:p w14:paraId="488C8502" w14:textId="6A00241E" w:rsidR="00E70630" w:rsidRPr="00E70630" w:rsidRDefault="00D45B66" w:rsidP="00D45B66">
      <w:pPr>
        <w:autoSpaceDE w:val="0"/>
        <w:autoSpaceDN w:val="0"/>
        <w:adjustRightInd w:val="0"/>
        <w:spacing w:after="0"/>
        <w:ind w:left="720"/>
        <w:rPr>
          <w:rFonts w:ascii="Arial" w:hAnsi="Arial" w:cs="Arial"/>
          <w:sz w:val="18"/>
          <w:szCs w:val="18"/>
        </w:rPr>
      </w:pPr>
      <w:r w:rsidRPr="00D45B66">
        <w:rPr>
          <w:rFonts w:ascii="Arial" w:hAnsi="Arial" w:cs="Arial"/>
          <w:sz w:val="18"/>
          <w:szCs w:val="18"/>
        </w:rPr>
        <w:t>The Manager may also consider for the Puma Heritage EPS portfolio other types of trading business which offer the ability to generate attractive returns for its investors underpinned by real estate. For example, the Puma Heritage EPS may consider investing in businesses that operate in the hospitality, leisure and healthcare sectors, and which have the potential to generate consistent operating cash flows underpinned by the value of real estate assets owned or leased by those businesses.</w:t>
      </w:r>
    </w:p>
    <w:p w14:paraId="51D76ECC" w14:textId="77777777" w:rsidR="00E70630" w:rsidRPr="00E70630" w:rsidRDefault="00E70630" w:rsidP="00E70630">
      <w:pPr>
        <w:autoSpaceDE w:val="0"/>
        <w:autoSpaceDN w:val="0"/>
        <w:adjustRightInd w:val="0"/>
        <w:spacing w:after="0"/>
        <w:rPr>
          <w:rFonts w:ascii="Arial" w:hAnsi="Arial" w:cs="Arial"/>
          <w:sz w:val="18"/>
          <w:szCs w:val="18"/>
        </w:rPr>
      </w:pPr>
    </w:p>
    <w:p w14:paraId="330D7C25" w14:textId="77777777" w:rsidR="00E70630" w:rsidRDefault="00E70630" w:rsidP="00E70630">
      <w:pPr>
        <w:autoSpaceDE w:val="0"/>
        <w:autoSpaceDN w:val="0"/>
        <w:adjustRightInd w:val="0"/>
        <w:spacing w:after="0"/>
        <w:rPr>
          <w:rFonts w:ascii="Arial" w:hAnsi="Arial" w:cs="Arial"/>
          <w:b/>
          <w:sz w:val="18"/>
          <w:szCs w:val="18"/>
          <w:u w:val="single"/>
        </w:rPr>
      </w:pPr>
    </w:p>
    <w:p w14:paraId="37E1401C" w14:textId="03DEA981" w:rsidR="00E70630" w:rsidRPr="00BC2934" w:rsidRDefault="00E70630" w:rsidP="00E70630">
      <w:pPr>
        <w:autoSpaceDE w:val="0"/>
        <w:autoSpaceDN w:val="0"/>
        <w:adjustRightInd w:val="0"/>
        <w:spacing w:after="0"/>
        <w:rPr>
          <w:rFonts w:ascii="Arial" w:hAnsi="Arial" w:cs="Arial"/>
          <w:sz w:val="18"/>
          <w:szCs w:val="18"/>
          <w:u w:val="single"/>
        </w:rPr>
      </w:pPr>
      <w:r w:rsidRPr="00BC2934">
        <w:rPr>
          <w:rFonts w:ascii="Arial" w:hAnsi="Arial" w:cs="Arial"/>
          <w:b/>
          <w:sz w:val="18"/>
          <w:szCs w:val="18"/>
          <w:u w:val="single"/>
        </w:rPr>
        <w:t>Costs</w:t>
      </w:r>
    </w:p>
    <w:p w14:paraId="2B23E924" w14:textId="77777777" w:rsidR="00734E34" w:rsidRDefault="00734E34" w:rsidP="00E70630">
      <w:pPr>
        <w:autoSpaceDE w:val="0"/>
        <w:autoSpaceDN w:val="0"/>
        <w:adjustRightInd w:val="0"/>
        <w:spacing w:after="0"/>
        <w:rPr>
          <w:rFonts w:ascii="Arial" w:hAnsi="Arial" w:cs="Arial"/>
          <w:sz w:val="18"/>
          <w:szCs w:val="18"/>
        </w:rPr>
      </w:pPr>
    </w:p>
    <w:p w14:paraId="4D1408B8" w14:textId="1EF857BD" w:rsidR="00734E34" w:rsidRDefault="00E70630" w:rsidP="00D45B66">
      <w:pPr>
        <w:ind w:left="720"/>
        <w:jc w:val="both"/>
        <w:rPr>
          <w:rFonts w:ascii="Arial" w:hAnsi="Arial" w:cs="Arial"/>
          <w:sz w:val="18"/>
          <w:szCs w:val="18"/>
        </w:rPr>
      </w:pPr>
      <w:r w:rsidRPr="00E70630">
        <w:rPr>
          <w:rFonts w:ascii="Arial" w:hAnsi="Arial" w:cs="Arial"/>
          <w:sz w:val="18"/>
          <w:szCs w:val="18"/>
        </w:rPr>
        <w:t xml:space="preserve">Please refer to the Investment </w:t>
      </w:r>
      <w:r w:rsidR="00C44FE5">
        <w:rPr>
          <w:rFonts w:ascii="Arial" w:hAnsi="Arial" w:cs="Arial"/>
          <w:sz w:val="18"/>
          <w:szCs w:val="18"/>
        </w:rPr>
        <w:t>Overview</w:t>
      </w:r>
      <w:r w:rsidRPr="00E70630">
        <w:rPr>
          <w:rFonts w:ascii="Arial" w:hAnsi="Arial" w:cs="Arial"/>
          <w:sz w:val="18"/>
          <w:szCs w:val="18"/>
        </w:rPr>
        <w:t xml:space="preserve"> for full details of the costs associated with this offer. </w:t>
      </w:r>
    </w:p>
    <w:p w14:paraId="2626B6FE" w14:textId="1A482384" w:rsidR="00734E34" w:rsidRDefault="00734E34" w:rsidP="00D45B66">
      <w:pPr>
        <w:ind w:left="720"/>
        <w:jc w:val="both"/>
        <w:rPr>
          <w:rFonts w:ascii="Arial" w:hAnsi="Arial" w:cs="Arial"/>
          <w:sz w:val="18"/>
          <w:szCs w:val="18"/>
        </w:rPr>
      </w:pPr>
      <w:r w:rsidRPr="001F0118">
        <w:rPr>
          <w:rFonts w:ascii="Arial" w:hAnsi="Arial" w:cs="Arial"/>
          <w:b/>
          <w:bCs/>
          <w:sz w:val="18"/>
          <w:szCs w:val="18"/>
        </w:rPr>
        <w:t xml:space="preserve">Initial promoter </w:t>
      </w:r>
      <w:r w:rsidR="000106DB" w:rsidRPr="001F0118">
        <w:rPr>
          <w:rFonts w:ascii="Arial" w:hAnsi="Arial" w:cs="Arial"/>
          <w:b/>
          <w:bCs/>
          <w:sz w:val="18"/>
          <w:szCs w:val="18"/>
        </w:rPr>
        <w:t>F</w:t>
      </w:r>
      <w:r w:rsidRPr="001F0118">
        <w:rPr>
          <w:rFonts w:ascii="Arial" w:hAnsi="Arial" w:cs="Arial"/>
          <w:b/>
          <w:bCs/>
          <w:sz w:val="18"/>
          <w:szCs w:val="18"/>
        </w:rPr>
        <w:t>ee</w:t>
      </w:r>
      <w:r>
        <w:rPr>
          <w:rFonts w:ascii="Arial" w:hAnsi="Arial" w:cs="Arial"/>
          <w:sz w:val="18"/>
          <w:szCs w:val="18"/>
        </w:rPr>
        <w:t xml:space="preserve">: </w:t>
      </w:r>
      <w:r w:rsidR="00E70630" w:rsidRPr="00E70630">
        <w:rPr>
          <w:rFonts w:ascii="Arial" w:hAnsi="Arial" w:cs="Arial"/>
          <w:sz w:val="18"/>
          <w:szCs w:val="18"/>
        </w:rPr>
        <w:t xml:space="preserve">1% </w:t>
      </w:r>
      <w:r w:rsidR="00726F0F">
        <w:rPr>
          <w:rFonts w:ascii="Arial" w:hAnsi="Arial" w:cs="Arial"/>
          <w:sz w:val="18"/>
          <w:szCs w:val="18"/>
        </w:rPr>
        <w:t xml:space="preserve">of the application amount </w:t>
      </w:r>
    </w:p>
    <w:p w14:paraId="0C2F742F" w14:textId="788B5021" w:rsidR="00EC3272" w:rsidRDefault="00734E34" w:rsidP="00D45B66">
      <w:pPr>
        <w:ind w:left="720"/>
        <w:jc w:val="both"/>
        <w:rPr>
          <w:rFonts w:ascii="Arial" w:hAnsi="Arial" w:cs="Arial"/>
          <w:sz w:val="18"/>
          <w:szCs w:val="18"/>
        </w:rPr>
      </w:pPr>
      <w:r w:rsidRPr="001F0118">
        <w:rPr>
          <w:rFonts w:ascii="Arial" w:hAnsi="Arial" w:cs="Arial"/>
          <w:b/>
          <w:bCs/>
          <w:sz w:val="18"/>
          <w:szCs w:val="18"/>
        </w:rPr>
        <w:t xml:space="preserve">Initial Dealing </w:t>
      </w:r>
      <w:r w:rsidR="000106DB" w:rsidRPr="001F0118">
        <w:rPr>
          <w:rFonts w:ascii="Arial" w:hAnsi="Arial" w:cs="Arial"/>
          <w:b/>
          <w:bCs/>
          <w:sz w:val="18"/>
          <w:szCs w:val="18"/>
        </w:rPr>
        <w:t>F</w:t>
      </w:r>
      <w:r w:rsidRPr="001F0118">
        <w:rPr>
          <w:rFonts w:ascii="Arial" w:hAnsi="Arial" w:cs="Arial"/>
          <w:b/>
          <w:bCs/>
          <w:sz w:val="18"/>
          <w:szCs w:val="18"/>
        </w:rPr>
        <w:t>ee</w:t>
      </w:r>
      <w:r>
        <w:rPr>
          <w:rFonts w:ascii="Arial" w:hAnsi="Arial" w:cs="Arial"/>
          <w:sz w:val="18"/>
          <w:szCs w:val="18"/>
        </w:rPr>
        <w:t xml:space="preserve">: </w:t>
      </w:r>
      <w:r w:rsidR="00E70630" w:rsidRPr="0085534D">
        <w:rPr>
          <w:rFonts w:ascii="Arial" w:hAnsi="Arial" w:cs="Arial"/>
          <w:sz w:val="18"/>
          <w:szCs w:val="18"/>
        </w:rPr>
        <w:t xml:space="preserve">1% </w:t>
      </w:r>
      <w:r w:rsidR="00960B5C" w:rsidRPr="00960B5C">
        <w:rPr>
          <w:rFonts w:ascii="Arial" w:hAnsi="Arial" w:cs="Arial"/>
          <w:sz w:val="18"/>
          <w:szCs w:val="18"/>
        </w:rPr>
        <w:t>of the application amount, net of any Financial Adviser and initial fee</w:t>
      </w:r>
    </w:p>
    <w:p w14:paraId="314B33E7" w14:textId="4B3B6953" w:rsidR="000106DB" w:rsidRDefault="000106DB" w:rsidP="00D45B66">
      <w:pPr>
        <w:ind w:left="720"/>
        <w:jc w:val="both"/>
        <w:rPr>
          <w:rFonts w:ascii="Arial" w:hAnsi="Arial" w:cs="Arial"/>
          <w:color w:val="000000"/>
          <w:sz w:val="18"/>
          <w:szCs w:val="18"/>
        </w:rPr>
      </w:pPr>
      <w:r w:rsidRPr="001F0118">
        <w:rPr>
          <w:rFonts w:ascii="Arial" w:hAnsi="Arial" w:cs="Arial"/>
          <w:b/>
          <w:bCs/>
          <w:sz w:val="18"/>
          <w:szCs w:val="18"/>
        </w:rPr>
        <w:t>Annual Ongoing Fee</w:t>
      </w:r>
      <w:r>
        <w:rPr>
          <w:rFonts w:ascii="Arial" w:hAnsi="Arial" w:cs="Arial"/>
          <w:sz w:val="18"/>
          <w:szCs w:val="18"/>
        </w:rPr>
        <w:t xml:space="preserve">: </w:t>
      </w:r>
      <w:r w:rsidR="00572F8E">
        <w:rPr>
          <w:rFonts w:ascii="Arial" w:hAnsi="Arial" w:cs="Arial"/>
          <w:sz w:val="18"/>
          <w:szCs w:val="18"/>
        </w:rPr>
        <w:t>0.5</w:t>
      </w:r>
      <w:r w:rsidR="00E70630" w:rsidRPr="0085534D">
        <w:rPr>
          <w:rFonts w:ascii="Arial" w:hAnsi="Arial" w:cs="Arial"/>
          <w:sz w:val="18"/>
          <w:szCs w:val="18"/>
        </w:rPr>
        <w:t xml:space="preserve">% </w:t>
      </w:r>
      <w:r w:rsidR="00165BD0" w:rsidRPr="0085534D">
        <w:rPr>
          <w:rFonts w:ascii="Arial" w:hAnsi="Arial" w:cs="Arial"/>
          <w:sz w:val="18"/>
          <w:szCs w:val="18"/>
        </w:rPr>
        <w:t xml:space="preserve">of NAV </w:t>
      </w:r>
      <w:r w:rsidR="00E70630" w:rsidRPr="0085534D">
        <w:rPr>
          <w:rFonts w:ascii="Arial" w:hAnsi="Arial" w:cs="Arial"/>
          <w:sz w:val="18"/>
          <w:szCs w:val="18"/>
        </w:rPr>
        <w:t xml:space="preserve">(+VAT) annual </w:t>
      </w:r>
      <w:r w:rsidR="00165BD0" w:rsidRPr="0085534D">
        <w:rPr>
          <w:rFonts w:ascii="Arial" w:hAnsi="Arial" w:cs="Arial"/>
          <w:sz w:val="18"/>
          <w:szCs w:val="18"/>
        </w:rPr>
        <w:t>ongoing management</w:t>
      </w:r>
      <w:r w:rsidR="00E70630" w:rsidRPr="0085534D">
        <w:rPr>
          <w:rFonts w:ascii="Arial" w:hAnsi="Arial" w:cs="Arial"/>
          <w:sz w:val="18"/>
          <w:szCs w:val="18"/>
        </w:rPr>
        <w:t xml:space="preserve"> fee </w:t>
      </w:r>
      <w:r w:rsidR="00EB5176" w:rsidRPr="0085534D">
        <w:rPr>
          <w:rFonts w:ascii="Arial" w:hAnsi="Arial" w:cs="Arial"/>
          <w:color w:val="000000"/>
          <w:sz w:val="18"/>
          <w:szCs w:val="18"/>
        </w:rPr>
        <w:t>payable by each portfolio company to the Service's Investment Manager</w:t>
      </w:r>
      <w:r w:rsidR="00552356">
        <w:rPr>
          <w:rFonts w:ascii="Arial" w:hAnsi="Arial" w:cs="Arial"/>
          <w:color w:val="000000"/>
          <w:sz w:val="18"/>
          <w:szCs w:val="18"/>
        </w:rPr>
        <w:t xml:space="preserve">. </w:t>
      </w:r>
      <w:proofErr w:type="gramStart"/>
      <w:r w:rsidR="00552356" w:rsidRPr="00552356">
        <w:rPr>
          <w:rFonts w:ascii="Arial" w:hAnsi="Arial" w:cs="Arial"/>
          <w:color w:val="000000"/>
          <w:sz w:val="18"/>
          <w:szCs w:val="18"/>
        </w:rPr>
        <w:t>In an effort to</w:t>
      </w:r>
      <w:proofErr w:type="gramEnd"/>
      <w:r w:rsidR="00552356" w:rsidRPr="00552356">
        <w:rPr>
          <w:rFonts w:ascii="Arial" w:hAnsi="Arial" w:cs="Arial"/>
          <w:color w:val="000000"/>
          <w:sz w:val="18"/>
          <w:szCs w:val="18"/>
        </w:rPr>
        <w:t xml:space="preserve"> align our interests with </w:t>
      </w:r>
      <w:r w:rsidR="001F0118">
        <w:rPr>
          <w:rFonts w:ascii="Arial" w:hAnsi="Arial" w:cs="Arial"/>
          <w:color w:val="000000"/>
          <w:sz w:val="18"/>
          <w:szCs w:val="18"/>
        </w:rPr>
        <w:t>investors</w:t>
      </w:r>
      <w:r w:rsidR="00552356" w:rsidRPr="00552356">
        <w:rPr>
          <w:rFonts w:ascii="Arial" w:hAnsi="Arial" w:cs="Arial"/>
          <w:color w:val="000000"/>
          <w:sz w:val="18"/>
          <w:szCs w:val="18"/>
        </w:rPr>
        <w:t xml:space="preserve">, if a minimum average return of 3% per annum over the duration of </w:t>
      </w:r>
      <w:r w:rsidR="001F0118">
        <w:rPr>
          <w:rFonts w:ascii="Arial" w:hAnsi="Arial" w:cs="Arial"/>
          <w:color w:val="000000"/>
          <w:sz w:val="18"/>
          <w:szCs w:val="18"/>
        </w:rPr>
        <w:t>an</w:t>
      </w:r>
      <w:r w:rsidR="00552356" w:rsidRPr="00552356">
        <w:rPr>
          <w:rFonts w:ascii="Arial" w:hAnsi="Arial" w:cs="Arial"/>
          <w:color w:val="000000"/>
          <w:sz w:val="18"/>
          <w:szCs w:val="18"/>
        </w:rPr>
        <w:t xml:space="preserve"> investment (or every 5 years if earlier) is not met, Puma Investments commits to pay some or </w:t>
      </w:r>
      <w:proofErr w:type="gramStart"/>
      <w:r w:rsidR="00552356" w:rsidRPr="00552356">
        <w:rPr>
          <w:rFonts w:ascii="Arial" w:hAnsi="Arial" w:cs="Arial"/>
          <w:color w:val="000000"/>
          <w:sz w:val="18"/>
          <w:szCs w:val="18"/>
        </w:rPr>
        <w:t>all of</w:t>
      </w:r>
      <w:proofErr w:type="gramEnd"/>
      <w:r w:rsidR="00552356" w:rsidRPr="00552356">
        <w:rPr>
          <w:rFonts w:ascii="Arial" w:hAnsi="Arial" w:cs="Arial"/>
          <w:color w:val="000000"/>
          <w:sz w:val="18"/>
          <w:szCs w:val="18"/>
        </w:rPr>
        <w:t xml:space="preserve"> that shortfall. See the “Fees and expenses explained” section </w:t>
      </w:r>
      <w:r w:rsidR="001F0118">
        <w:rPr>
          <w:rFonts w:ascii="Arial" w:hAnsi="Arial" w:cs="Arial"/>
          <w:color w:val="000000"/>
          <w:sz w:val="18"/>
          <w:szCs w:val="18"/>
        </w:rPr>
        <w:t>of the Puma Heritage EPS Investment Overview</w:t>
      </w:r>
      <w:r w:rsidR="00552356" w:rsidRPr="00552356">
        <w:rPr>
          <w:rFonts w:ascii="Arial" w:hAnsi="Arial" w:cs="Arial"/>
          <w:color w:val="000000"/>
          <w:sz w:val="18"/>
          <w:szCs w:val="18"/>
        </w:rPr>
        <w:t xml:space="preserve"> for more details.</w:t>
      </w:r>
    </w:p>
    <w:p w14:paraId="3D922AE6" w14:textId="00E3D238" w:rsidR="00712C05" w:rsidRDefault="000106DB" w:rsidP="00D45B66">
      <w:pPr>
        <w:ind w:left="720"/>
        <w:jc w:val="both"/>
        <w:rPr>
          <w:rFonts w:ascii="Arial" w:hAnsi="Arial" w:cs="Arial"/>
          <w:sz w:val="18"/>
          <w:szCs w:val="18"/>
        </w:rPr>
      </w:pPr>
      <w:r w:rsidRPr="001F0118">
        <w:rPr>
          <w:rFonts w:ascii="Arial" w:hAnsi="Arial" w:cs="Arial"/>
          <w:b/>
          <w:bCs/>
          <w:color w:val="000000"/>
          <w:sz w:val="18"/>
          <w:szCs w:val="18"/>
        </w:rPr>
        <w:t>Exit Dealing Fee</w:t>
      </w:r>
      <w:r>
        <w:rPr>
          <w:rFonts w:ascii="Arial" w:hAnsi="Arial" w:cs="Arial"/>
          <w:color w:val="000000"/>
          <w:sz w:val="18"/>
          <w:szCs w:val="18"/>
        </w:rPr>
        <w:t>:</w:t>
      </w:r>
      <w:r w:rsidR="00E70630" w:rsidRPr="0085534D">
        <w:rPr>
          <w:rFonts w:ascii="Arial" w:hAnsi="Arial" w:cs="Arial"/>
          <w:sz w:val="18"/>
          <w:szCs w:val="18"/>
        </w:rPr>
        <w:t xml:space="preserve"> 1% dealing</w:t>
      </w:r>
      <w:r w:rsidR="00E70630" w:rsidRPr="00E70630">
        <w:rPr>
          <w:rFonts w:ascii="Arial" w:hAnsi="Arial" w:cs="Arial"/>
          <w:sz w:val="18"/>
          <w:szCs w:val="18"/>
        </w:rPr>
        <w:t xml:space="preserve"> fee on exit </w:t>
      </w:r>
      <w:r w:rsidR="005E1F29">
        <w:rPr>
          <w:rFonts w:ascii="Arial" w:hAnsi="Arial" w:cs="Arial"/>
          <w:sz w:val="18"/>
          <w:szCs w:val="18"/>
        </w:rPr>
        <w:t xml:space="preserve">on the value of shares sold </w:t>
      </w:r>
    </w:p>
    <w:p w14:paraId="7917280D" w14:textId="77777777" w:rsidR="00734E34" w:rsidRDefault="00734E34" w:rsidP="00E70630">
      <w:pPr>
        <w:jc w:val="both"/>
        <w:rPr>
          <w:rFonts w:ascii="Arial" w:hAnsi="Arial" w:cs="Arial"/>
          <w:sz w:val="18"/>
          <w:szCs w:val="18"/>
        </w:rPr>
      </w:pPr>
    </w:p>
    <w:p w14:paraId="6AA295F9" w14:textId="77777777" w:rsidR="00132D3C" w:rsidRPr="00132D3C" w:rsidRDefault="00132D3C" w:rsidP="00132D3C">
      <w:pPr>
        <w:jc w:val="both"/>
        <w:rPr>
          <w:rFonts w:ascii="Arial" w:hAnsi="Arial" w:cs="Arial"/>
          <w:sz w:val="18"/>
          <w:szCs w:val="18"/>
        </w:rPr>
      </w:pPr>
      <w:r w:rsidRPr="00132D3C">
        <w:rPr>
          <w:rFonts w:ascii="Arial" w:hAnsi="Arial" w:cs="Arial"/>
          <w:sz w:val="18"/>
          <w:szCs w:val="18"/>
        </w:rPr>
        <w:t xml:space="preserve">The private trading companies in which Puma Heritage EPS invests, may agree to pay Puma Investments and other third-party </w:t>
      </w:r>
      <w:proofErr w:type="gramStart"/>
      <w:r w:rsidRPr="00132D3C">
        <w:rPr>
          <w:rFonts w:ascii="Arial" w:hAnsi="Arial" w:cs="Arial"/>
          <w:sz w:val="18"/>
          <w:szCs w:val="18"/>
        </w:rPr>
        <w:t>advisers</w:t>
      </w:r>
      <w:proofErr w:type="gramEnd"/>
      <w:r w:rsidRPr="00132D3C">
        <w:rPr>
          <w:rFonts w:ascii="Arial" w:hAnsi="Arial" w:cs="Arial"/>
          <w:sz w:val="18"/>
          <w:szCs w:val="18"/>
        </w:rPr>
        <w:t xml:space="preserve"> transaction-related fees for assisting in the origination and execution of transactions.</w:t>
      </w:r>
    </w:p>
    <w:p w14:paraId="7A606EF5" w14:textId="09201085" w:rsidR="00132D3C" w:rsidRPr="00D45B66" w:rsidRDefault="00132D3C" w:rsidP="00D45B66">
      <w:pPr>
        <w:ind w:left="720"/>
        <w:jc w:val="both"/>
        <w:rPr>
          <w:rFonts w:ascii="Arial" w:hAnsi="Arial" w:cs="Arial"/>
          <w:sz w:val="18"/>
          <w:szCs w:val="18"/>
        </w:rPr>
      </w:pPr>
      <w:r w:rsidRPr="00D45B66">
        <w:rPr>
          <w:rFonts w:ascii="Arial" w:hAnsi="Arial" w:cs="Arial"/>
          <w:b/>
          <w:bCs/>
          <w:sz w:val="18"/>
          <w:szCs w:val="18"/>
        </w:rPr>
        <w:t>Business support fee</w:t>
      </w:r>
    </w:p>
    <w:p w14:paraId="608DB6B8" w14:textId="77777777" w:rsidR="00132D3C" w:rsidRPr="00132D3C" w:rsidRDefault="00132D3C" w:rsidP="007B3891">
      <w:pPr>
        <w:ind w:left="720"/>
        <w:jc w:val="both"/>
        <w:rPr>
          <w:rFonts w:ascii="Arial" w:hAnsi="Arial" w:cs="Arial"/>
          <w:sz w:val="18"/>
          <w:szCs w:val="18"/>
        </w:rPr>
      </w:pPr>
      <w:r w:rsidRPr="00132D3C">
        <w:rPr>
          <w:rFonts w:ascii="Arial" w:hAnsi="Arial" w:cs="Arial"/>
          <w:sz w:val="18"/>
          <w:szCs w:val="18"/>
        </w:rPr>
        <w:t>Puma Investments receives an annual fee of up to 0.9% plus VAT of the gross asset value of a portfolio company for business support services (plus VAT if applicable) and a monitoring fee equal to 0.8% plus VAT of the aggregate amount of loans in respect of which a portfolio company is currently acting as lender plus VAT if applicable.</w:t>
      </w:r>
    </w:p>
    <w:p w14:paraId="3670F458" w14:textId="5B077507" w:rsidR="00132D3C" w:rsidRPr="00D45B66" w:rsidRDefault="00132D3C" w:rsidP="00D45B66">
      <w:pPr>
        <w:ind w:left="720"/>
        <w:jc w:val="both"/>
        <w:rPr>
          <w:rFonts w:ascii="Arial" w:hAnsi="Arial" w:cs="Arial"/>
          <w:sz w:val="18"/>
          <w:szCs w:val="18"/>
        </w:rPr>
      </w:pPr>
      <w:r w:rsidRPr="00D45B66">
        <w:rPr>
          <w:rFonts w:ascii="Arial" w:hAnsi="Arial" w:cs="Arial"/>
          <w:b/>
          <w:bCs/>
          <w:sz w:val="18"/>
          <w:szCs w:val="18"/>
        </w:rPr>
        <w:t>Administration fee</w:t>
      </w:r>
    </w:p>
    <w:p w14:paraId="76CEFDBD" w14:textId="77777777" w:rsidR="00BC2934" w:rsidRDefault="00132D3C" w:rsidP="007B3891">
      <w:pPr>
        <w:ind w:left="720"/>
        <w:jc w:val="both"/>
        <w:rPr>
          <w:rFonts w:ascii="Arial" w:hAnsi="Arial" w:cs="Arial"/>
          <w:sz w:val="18"/>
          <w:szCs w:val="18"/>
        </w:rPr>
      </w:pPr>
      <w:r w:rsidRPr="00132D3C">
        <w:rPr>
          <w:rFonts w:ascii="Arial" w:hAnsi="Arial" w:cs="Arial"/>
          <w:sz w:val="18"/>
          <w:szCs w:val="18"/>
        </w:rPr>
        <w:t xml:space="preserve">Investments in portfolio companies in which Puma Heritage EPS invests, will be subject to an annual administration fee of 0.4% plus VAT of the net asset value of a portfolio company. These costs relate to the normal running and administration costs of the companies that investors in the Service subscribe to, including any custodian or nominee fees. This does not include the annual management charges or the operating costs of the portfolio companies. </w:t>
      </w:r>
    </w:p>
    <w:p w14:paraId="5CF8556F" w14:textId="412267DD" w:rsidR="00BC2934" w:rsidRPr="00BC2934" w:rsidRDefault="00BC2934" w:rsidP="00E70630">
      <w:pPr>
        <w:jc w:val="both"/>
        <w:rPr>
          <w:rFonts w:ascii="Arial" w:hAnsi="Arial" w:cs="Arial"/>
          <w:b/>
          <w:bCs/>
          <w:sz w:val="18"/>
          <w:szCs w:val="18"/>
        </w:rPr>
      </w:pPr>
      <w:r w:rsidRPr="00BC2934">
        <w:rPr>
          <w:rFonts w:ascii="Arial" w:hAnsi="Arial" w:cs="Arial"/>
          <w:b/>
          <w:bCs/>
          <w:sz w:val="18"/>
          <w:szCs w:val="18"/>
        </w:rPr>
        <w:lastRenderedPageBreak/>
        <w:t xml:space="preserve">Optional Life Protection </w:t>
      </w:r>
    </w:p>
    <w:p w14:paraId="1B6E31B6" w14:textId="5ABB42A3" w:rsidR="00E70630" w:rsidRPr="00E70630" w:rsidRDefault="00E70630" w:rsidP="00D45B66">
      <w:pPr>
        <w:ind w:left="720"/>
        <w:jc w:val="both"/>
        <w:rPr>
          <w:rFonts w:ascii="Arial" w:hAnsi="Arial" w:cs="Arial"/>
          <w:sz w:val="18"/>
          <w:szCs w:val="18"/>
        </w:rPr>
      </w:pPr>
      <w:r w:rsidRPr="00E70630">
        <w:rPr>
          <w:rFonts w:ascii="Arial" w:hAnsi="Arial" w:cs="Arial"/>
          <w:sz w:val="18"/>
          <w:szCs w:val="18"/>
        </w:rPr>
        <w:t xml:space="preserve">For investors who choose to add Optional Life Protection to cover the initial two-year qualifying period for Business Relief, there is an annual fee of 4.5% p.a. or 6.5% </w:t>
      </w:r>
      <w:proofErr w:type="spellStart"/>
      <w:r w:rsidRPr="00E70630">
        <w:rPr>
          <w:rFonts w:ascii="Arial" w:hAnsi="Arial" w:cs="Arial"/>
          <w:sz w:val="18"/>
          <w:szCs w:val="18"/>
        </w:rPr>
        <w:t>p.a</w:t>
      </w:r>
      <w:proofErr w:type="spellEnd"/>
      <w:r w:rsidRPr="00E70630">
        <w:rPr>
          <w:rFonts w:ascii="Arial" w:hAnsi="Arial" w:cs="Arial"/>
          <w:sz w:val="18"/>
          <w:szCs w:val="18"/>
        </w:rPr>
        <w:t xml:space="preserve"> of the amount invested during this two-year qualifying period. Respectively this refers to clients aged 84 / under and 85-88.</w:t>
      </w:r>
      <w:r w:rsidR="0085534D">
        <w:rPr>
          <w:rFonts w:ascii="Arial" w:hAnsi="Arial" w:cs="Arial"/>
          <w:sz w:val="18"/>
          <w:szCs w:val="18"/>
        </w:rPr>
        <w:t xml:space="preserve"> There is also a Joint Life Second Death cover </w:t>
      </w:r>
      <w:r w:rsidR="00BD315E">
        <w:rPr>
          <w:rFonts w:ascii="Arial" w:hAnsi="Arial" w:cs="Arial"/>
          <w:sz w:val="18"/>
          <w:szCs w:val="18"/>
        </w:rPr>
        <w:t>with an annual fee of 2.75% p.a.</w:t>
      </w:r>
      <w:r w:rsidR="00F73A62">
        <w:rPr>
          <w:rFonts w:ascii="Arial" w:hAnsi="Arial" w:cs="Arial"/>
          <w:sz w:val="18"/>
          <w:szCs w:val="18"/>
        </w:rPr>
        <w:t xml:space="preserve"> of the amount invested during this </w:t>
      </w:r>
      <w:proofErr w:type="gramStart"/>
      <w:r w:rsidR="00F73A62">
        <w:rPr>
          <w:rFonts w:ascii="Arial" w:hAnsi="Arial" w:cs="Arial"/>
          <w:sz w:val="18"/>
          <w:szCs w:val="18"/>
        </w:rPr>
        <w:t>two year</w:t>
      </w:r>
      <w:proofErr w:type="gramEnd"/>
      <w:r w:rsidR="00F73A62">
        <w:rPr>
          <w:rFonts w:ascii="Arial" w:hAnsi="Arial" w:cs="Arial"/>
          <w:sz w:val="18"/>
          <w:szCs w:val="18"/>
        </w:rPr>
        <w:t xml:space="preserve"> qualifying period.</w:t>
      </w:r>
    </w:p>
    <w:p w14:paraId="668A02E0" w14:textId="77777777" w:rsidR="00E70630" w:rsidRDefault="00E70630" w:rsidP="00E70630">
      <w:pPr>
        <w:spacing w:after="0"/>
        <w:rPr>
          <w:rFonts w:ascii="Arial" w:hAnsi="Arial" w:cs="Arial"/>
          <w:b/>
          <w:bCs/>
          <w:color w:val="1D1D1B"/>
          <w:sz w:val="18"/>
          <w:szCs w:val="18"/>
          <w:u w:val="single"/>
        </w:rPr>
      </w:pPr>
    </w:p>
    <w:p w14:paraId="6D75D4E7" w14:textId="46A03300" w:rsidR="00E70630" w:rsidRPr="00C55805" w:rsidRDefault="00E70630" w:rsidP="00E70630">
      <w:pPr>
        <w:spacing w:after="0"/>
        <w:rPr>
          <w:rFonts w:ascii="Arial" w:hAnsi="Arial" w:cs="Arial"/>
          <w:b/>
          <w:bCs/>
          <w:color w:val="1D1D1B"/>
          <w:sz w:val="18"/>
          <w:szCs w:val="18"/>
        </w:rPr>
      </w:pPr>
      <w:r w:rsidRPr="00C55805">
        <w:rPr>
          <w:rFonts w:ascii="Arial" w:hAnsi="Arial" w:cs="Arial"/>
          <w:b/>
          <w:bCs/>
          <w:color w:val="1D1D1B"/>
          <w:sz w:val="18"/>
          <w:szCs w:val="18"/>
        </w:rPr>
        <w:t>Risk warnings</w:t>
      </w:r>
    </w:p>
    <w:p w14:paraId="30B21295" w14:textId="77777777" w:rsidR="00E70630" w:rsidRDefault="00E70630" w:rsidP="00E70630">
      <w:pPr>
        <w:autoSpaceDE w:val="0"/>
        <w:autoSpaceDN w:val="0"/>
        <w:adjustRightInd w:val="0"/>
        <w:spacing w:after="0"/>
        <w:rPr>
          <w:rFonts w:ascii="Arial" w:hAnsi="Arial" w:cs="Arial"/>
          <w:sz w:val="18"/>
          <w:szCs w:val="18"/>
        </w:rPr>
      </w:pPr>
    </w:p>
    <w:p w14:paraId="5C758E30" w14:textId="19F6EB6A" w:rsidR="00E70630" w:rsidRPr="00E70630" w:rsidRDefault="00E70630" w:rsidP="00E70630">
      <w:pPr>
        <w:autoSpaceDE w:val="0"/>
        <w:autoSpaceDN w:val="0"/>
        <w:adjustRightInd w:val="0"/>
        <w:spacing w:after="0"/>
        <w:rPr>
          <w:rFonts w:ascii="Arial" w:hAnsi="Arial" w:cs="Arial"/>
          <w:sz w:val="18"/>
          <w:szCs w:val="18"/>
        </w:rPr>
      </w:pPr>
      <w:r w:rsidRPr="00E70630">
        <w:rPr>
          <w:rFonts w:ascii="Arial" w:hAnsi="Arial" w:cs="Arial"/>
          <w:sz w:val="18"/>
          <w:szCs w:val="18"/>
        </w:rPr>
        <w:t xml:space="preserve">A subscription for the </w:t>
      </w:r>
      <w:r w:rsidRPr="00E70630">
        <w:rPr>
          <w:rFonts w:ascii="Arial" w:hAnsi="Arial" w:cs="Arial"/>
          <w:i/>
          <w:sz w:val="18"/>
          <w:szCs w:val="18"/>
        </w:rPr>
        <w:t xml:space="preserve">Puma Heritage Estate Planning Service </w:t>
      </w:r>
      <w:r w:rsidRPr="00E70630">
        <w:rPr>
          <w:rFonts w:ascii="Arial" w:hAnsi="Arial" w:cs="Arial"/>
          <w:sz w:val="18"/>
          <w:szCs w:val="18"/>
        </w:rPr>
        <w:t xml:space="preserve">carries risk. Highlighted below are some of the key risks; </w:t>
      </w:r>
      <w:proofErr w:type="gramStart"/>
      <w:r w:rsidRPr="00E70630">
        <w:rPr>
          <w:rFonts w:ascii="Arial" w:hAnsi="Arial" w:cs="Arial"/>
          <w:sz w:val="18"/>
          <w:szCs w:val="18"/>
        </w:rPr>
        <w:t>however</w:t>
      </w:r>
      <w:proofErr w:type="gramEnd"/>
      <w:r w:rsidRPr="00E70630">
        <w:rPr>
          <w:rFonts w:ascii="Arial" w:hAnsi="Arial" w:cs="Arial"/>
          <w:sz w:val="18"/>
          <w:szCs w:val="18"/>
        </w:rPr>
        <w:t xml:space="preserve"> you should read in full the Investment Details, in particular the section headed “risk factors”.</w:t>
      </w:r>
    </w:p>
    <w:p w14:paraId="24DCB369" w14:textId="77777777" w:rsidR="00E70630" w:rsidRPr="00E70630" w:rsidRDefault="00E70630" w:rsidP="00E70630">
      <w:pPr>
        <w:autoSpaceDE w:val="0"/>
        <w:autoSpaceDN w:val="0"/>
        <w:adjustRightInd w:val="0"/>
        <w:spacing w:after="0"/>
        <w:rPr>
          <w:rFonts w:ascii="Arial" w:hAnsi="Arial" w:cs="Arial"/>
          <w:b/>
          <w:bCs/>
          <w:sz w:val="18"/>
          <w:szCs w:val="18"/>
        </w:rPr>
      </w:pPr>
    </w:p>
    <w:p w14:paraId="41DB932B" w14:textId="77777777" w:rsidR="00E70630" w:rsidRPr="00E70630" w:rsidRDefault="00E70630" w:rsidP="00E70630">
      <w:pPr>
        <w:autoSpaceDE w:val="0"/>
        <w:autoSpaceDN w:val="0"/>
        <w:adjustRightInd w:val="0"/>
        <w:spacing w:after="0"/>
        <w:ind w:left="567"/>
        <w:rPr>
          <w:rFonts w:ascii="Arial" w:hAnsi="Arial" w:cs="Arial"/>
          <w:sz w:val="18"/>
          <w:szCs w:val="18"/>
        </w:rPr>
      </w:pPr>
      <w:r w:rsidRPr="00E70630">
        <w:rPr>
          <w:rFonts w:ascii="Arial" w:hAnsi="Arial" w:cs="Arial"/>
          <w:b/>
          <w:bCs/>
          <w:sz w:val="18"/>
          <w:szCs w:val="18"/>
        </w:rPr>
        <w:t xml:space="preserve">General: </w:t>
      </w:r>
      <w:r w:rsidRPr="00E70630">
        <w:rPr>
          <w:rFonts w:ascii="Arial" w:hAnsi="Arial" w:cs="Arial"/>
          <w:sz w:val="18"/>
          <w:szCs w:val="18"/>
        </w:rPr>
        <w:t xml:space="preserve">The value of shares can fluctuate. Investors may not get back the full amount invested. Past performance is no guarantee of future performance. Forecasts set out in this document should not be taken as a reliable indicator of future performance.  </w:t>
      </w:r>
    </w:p>
    <w:p w14:paraId="1FA9B22A" w14:textId="77777777" w:rsidR="00E70630" w:rsidRPr="00E70630" w:rsidRDefault="00E70630" w:rsidP="00E70630">
      <w:pPr>
        <w:autoSpaceDE w:val="0"/>
        <w:autoSpaceDN w:val="0"/>
        <w:adjustRightInd w:val="0"/>
        <w:spacing w:after="0"/>
        <w:ind w:left="567"/>
        <w:rPr>
          <w:rFonts w:ascii="Arial" w:hAnsi="Arial" w:cs="Arial"/>
          <w:sz w:val="18"/>
          <w:szCs w:val="18"/>
        </w:rPr>
      </w:pPr>
    </w:p>
    <w:p w14:paraId="4C24AB0E" w14:textId="77777777" w:rsidR="00E70630" w:rsidRPr="00E70630" w:rsidRDefault="00E70630" w:rsidP="00E70630">
      <w:pPr>
        <w:autoSpaceDE w:val="0"/>
        <w:autoSpaceDN w:val="0"/>
        <w:adjustRightInd w:val="0"/>
        <w:spacing w:after="0"/>
        <w:ind w:left="567"/>
        <w:rPr>
          <w:rFonts w:ascii="Arial" w:hAnsi="Arial" w:cs="Arial"/>
          <w:sz w:val="18"/>
          <w:szCs w:val="18"/>
        </w:rPr>
      </w:pPr>
      <w:r w:rsidRPr="00E70630">
        <w:rPr>
          <w:rFonts w:ascii="Arial" w:hAnsi="Arial" w:cs="Arial"/>
          <w:b/>
          <w:sz w:val="18"/>
          <w:szCs w:val="18"/>
        </w:rPr>
        <w:t>Capital at Risk:</w:t>
      </w:r>
      <w:r w:rsidRPr="00E70630">
        <w:rPr>
          <w:rFonts w:ascii="Arial" w:hAnsi="Arial" w:cs="Arial"/>
          <w:sz w:val="18"/>
          <w:szCs w:val="18"/>
        </w:rPr>
        <w:t xml:space="preserve"> The investment opportunity highlighted in this document may be viewed as high risk.  Investors’ capital may be at risk.</w:t>
      </w:r>
    </w:p>
    <w:p w14:paraId="35C321F6" w14:textId="77777777" w:rsidR="00E70630" w:rsidRPr="00E70630" w:rsidRDefault="00E70630" w:rsidP="00E70630">
      <w:pPr>
        <w:autoSpaceDE w:val="0"/>
        <w:autoSpaceDN w:val="0"/>
        <w:adjustRightInd w:val="0"/>
        <w:spacing w:after="0"/>
        <w:ind w:left="567"/>
        <w:rPr>
          <w:rFonts w:ascii="Arial" w:hAnsi="Arial" w:cs="Arial"/>
          <w:sz w:val="18"/>
          <w:szCs w:val="18"/>
        </w:rPr>
      </w:pPr>
    </w:p>
    <w:p w14:paraId="19FAA719" w14:textId="77777777" w:rsidR="00E70630" w:rsidRPr="00E70630" w:rsidRDefault="00E70630" w:rsidP="00E70630">
      <w:pPr>
        <w:autoSpaceDE w:val="0"/>
        <w:autoSpaceDN w:val="0"/>
        <w:adjustRightInd w:val="0"/>
        <w:spacing w:after="0"/>
        <w:ind w:left="567"/>
        <w:rPr>
          <w:rFonts w:ascii="Arial" w:hAnsi="Arial" w:cs="Arial"/>
          <w:sz w:val="18"/>
          <w:szCs w:val="18"/>
        </w:rPr>
      </w:pPr>
      <w:r w:rsidRPr="00E70630">
        <w:rPr>
          <w:rFonts w:ascii="Arial" w:hAnsi="Arial" w:cs="Arial"/>
          <w:b/>
          <w:bCs/>
          <w:sz w:val="18"/>
          <w:szCs w:val="18"/>
        </w:rPr>
        <w:t xml:space="preserve">Tax Reliefs: </w:t>
      </w:r>
      <w:r w:rsidRPr="00E70630">
        <w:rPr>
          <w:rFonts w:ascii="Arial" w:hAnsi="Arial" w:cs="Arial"/>
          <w:sz w:val="18"/>
          <w:szCs w:val="18"/>
        </w:rPr>
        <w:t>The value of any tax reliefs, as well as levels and bases of tax, depend on Investors’ personal circumstances and are based on current legislation which may be subject to change. There can be no guarantee of relief from tax or that the criteria to obtain reliefs will be fulfilled or that HMRC will not challenge entitlements to such relief.</w:t>
      </w:r>
    </w:p>
    <w:p w14:paraId="3FE91D8F" w14:textId="77777777" w:rsidR="00E70630" w:rsidRPr="00E70630" w:rsidRDefault="00E70630" w:rsidP="00E70630">
      <w:pPr>
        <w:autoSpaceDE w:val="0"/>
        <w:autoSpaceDN w:val="0"/>
        <w:adjustRightInd w:val="0"/>
        <w:spacing w:after="0"/>
        <w:ind w:left="567"/>
        <w:rPr>
          <w:rFonts w:ascii="Arial" w:hAnsi="Arial" w:cs="Arial"/>
          <w:sz w:val="18"/>
          <w:szCs w:val="18"/>
        </w:rPr>
      </w:pPr>
    </w:p>
    <w:p w14:paraId="6D1FC89E" w14:textId="77777777" w:rsidR="00E70630" w:rsidRPr="00E70630" w:rsidRDefault="00E70630" w:rsidP="00E70630">
      <w:pPr>
        <w:spacing w:after="0"/>
        <w:ind w:left="567"/>
        <w:rPr>
          <w:rFonts w:ascii="Arial" w:hAnsi="Arial" w:cs="Arial"/>
          <w:b/>
          <w:bCs/>
          <w:sz w:val="18"/>
          <w:szCs w:val="18"/>
        </w:rPr>
      </w:pPr>
      <w:r w:rsidRPr="00E70630">
        <w:rPr>
          <w:rFonts w:ascii="Arial" w:hAnsi="Arial" w:cs="Arial"/>
          <w:b/>
          <w:bCs/>
          <w:sz w:val="18"/>
          <w:szCs w:val="18"/>
        </w:rPr>
        <w:t>Potentially Illiquid Investment:</w:t>
      </w:r>
    </w:p>
    <w:p w14:paraId="77605526" w14:textId="77777777" w:rsidR="00E70630" w:rsidRPr="00E70630" w:rsidRDefault="00E70630" w:rsidP="00E70630">
      <w:pPr>
        <w:spacing w:after="0"/>
        <w:ind w:left="567"/>
        <w:rPr>
          <w:rFonts w:ascii="Arial" w:hAnsi="Arial" w:cs="Arial"/>
          <w:i/>
          <w:sz w:val="18"/>
          <w:szCs w:val="18"/>
        </w:rPr>
      </w:pPr>
      <w:r w:rsidRPr="00E70630">
        <w:rPr>
          <w:rFonts w:ascii="Arial" w:hAnsi="Arial" w:cs="Arial"/>
          <w:bCs/>
          <w:sz w:val="18"/>
          <w:szCs w:val="18"/>
        </w:rPr>
        <w:t>Private Trading Company shares are illiquid. They are characterised by significant spreads and low trading volumes. It may prove difficult for Investors to realise immediately or in full proceeds from the sale of such shares.</w:t>
      </w:r>
    </w:p>
    <w:p w14:paraId="45AF8778" w14:textId="77777777" w:rsidR="00E70630" w:rsidRPr="00E70630" w:rsidRDefault="00E70630" w:rsidP="00E70630">
      <w:pPr>
        <w:spacing w:after="0"/>
        <w:rPr>
          <w:rFonts w:ascii="Arial" w:hAnsi="Arial" w:cs="Arial"/>
          <w:b/>
          <w:i/>
          <w:sz w:val="18"/>
          <w:szCs w:val="18"/>
        </w:rPr>
      </w:pPr>
    </w:p>
    <w:p w14:paraId="79ECD963" w14:textId="3A7FA623" w:rsidR="00E70630" w:rsidRPr="00E70630" w:rsidRDefault="00E70630" w:rsidP="00E70630">
      <w:pPr>
        <w:spacing w:after="0"/>
        <w:rPr>
          <w:rFonts w:ascii="Arial" w:hAnsi="Arial" w:cs="Arial"/>
          <w:b/>
          <w:iCs/>
          <w:sz w:val="18"/>
          <w:szCs w:val="18"/>
        </w:rPr>
      </w:pPr>
      <w:r w:rsidRPr="00E70630">
        <w:rPr>
          <w:rFonts w:ascii="Arial" w:hAnsi="Arial" w:cs="Arial"/>
          <w:b/>
          <w:iCs/>
          <w:sz w:val="18"/>
          <w:szCs w:val="18"/>
        </w:rPr>
        <w:t>Disclaimer</w:t>
      </w:r>
    </w:p>
    <w:p w14:paraId="0E5CA028" w14:textId="77777777" w:rsidR="00E70630" w:rsidRPr="00E70630" w:rsidRDefault="00E70630" w:rsidP="00E70630">
      <w:pPr>
        <w:spacing w:after="0"/>
        <w:rPr>
          <w:rFonts w:ascii="Arial" w:hAnsi="Arial" w:cs="Arial"/>
          <w:b/>
          <w:iCs/>
          <w:sz w:val="18"/>
          <w:szCs w:val="18"/>
        </w:rPr>
      </w:pPr>
    </w:p>
    <w:p w14:paraId="1278D54F" w14:textId="77777777" w:rsidR="00E70630" w:rsidRPr="00E70630" w:rsidRDefault="00E70630" w:rsidP="00E70630">
      <w:pPr>
        <w:spacing w:line="240" w:lineRule="auto"/>
        <w:jc w:val="both"/>
        <w:rPr>
          <w:rFonts w:ascii="Arial" w:hAnsi="Arial" w:cs="Arial"/>
          <w:iCs/>
          <w:sz w:val="18"/>
          <w:szCs w:val="18"/>
        </w:rPr>
      </w:pPr>
      <w:r w:rsidRPr="00E70630">
        <w:rPr>
          <w:rFonts w:ascii="Arial" w:hAnsi="Arial" w:cs="Arial"/>
          <w:iCs/>
          <w:sz w:val="18"/>
          <w:szCs w:val="18"/>
        </w:rPr>
        <w:t>An investment in the Puma Heritage Estate Planning Service carries risk and investors should review the section headed “risk factors” in the relevant offering documents, including the Investment Details and Investor Agreement.</w:t>
      </w:r>
    </w:p>
    <w:p w14:paraId="409BE2B5" w14:textId="77777777" w:rsidR="00E70630" w:rsidRPr="00E70630" w:rsidRDefault="00E70630" w:rsidP="00E70630">
      <w:pPr>
        <w:spacing w:line="240" w:lineRule="auto"/>
        <w:jc w:val="both"/>
        <w:rPr>
          <w:rFonts w:ascii="Arial" w:hAnsi="Arial" w:cs="Arial"/>
          <w:iCs/>
          <w:sz w:val="18"/>
          <w:szCs w:val="18"/>
        </w:rPr>
      </w:pPr>
      <w:r w:rsidRPr="00E70630">
        <w:rPr>
          <w:rFonts w:ascii="Arial" w:hAnsi="Arial" w:cs="Arial"/>
          <w:iCs/>
          <w:sz w:val="18"/>
          <w:szCs w:val="18"/>
        </w:rPr>
        <w:t xml:space="preserve">This document is directed at investment professionals only and is an exempt financial promotion not subject to section 21 of the Financial Services and Markets Act 2000. Persons who are not investment professionals should not rely on this document. </w:t>
      </w:r>
    </w:p>
    <w:p w14:paraId="37551DA2" w14:textId="77777777" w:rsidR="00E70630" w:rsidRPr="00E70630" w:rsidRDefault="00E70630" w:rsidP="00E70630">
      <w:pPr>
        <w:spacing w:line="240" w:lineRule="auto"/>
        <w:jc w:val="both"/>
        <w:rPr>
          <w:rFonts w:ascii="Arial" w:hAnsi="Arial" w:cs="Arial"/>
          <w:iCs/>
          <w:sz w:val="18"/>
          <w:szCs w:val="18"/>
        </w:rPr>
      </w:pPr>
      <w:r w:rsidRPr="00E70630">
        <w:rPr>
          <w:rFonts w:ascii="Arial" w:hAnsi="Arial" w:cs="Arial"/>
          <w:iCs/>
          <w:sz w:val="18"/>
          <w:szCs w:val="18"/>
        </w:rPr>
        <w:t>This document does not constitute or form any part of any offer or invitation to sell or issue or purchase or subscribe for any shares and is a not a prospectus prepared in accordance with the Prospectus Rules of the Financial Conduct Authority (“FCA”). This document does not constitute a research recommendation or a personal recommendation in accordance with FCA rules. Before investing in Puma Heritage EPS, investors should read in detail the Investment Details and Investor Agreement. Puma Investments (FCA no. 590919) is authorised and regulated by the FCA with a registered address of Cassini House, 57 St James’s Street, London, SW1A 1LD.</w:t>
      </w:r>
    </w:p>
    <w:p w14:paraId="575EAE8F" w14:textId="77777777" w:rsidR="00E70630" w:rsidRPr="00E70630" w:rsidRDefault="00E70630" w:rsidP="00E70630">
      <w:pPr>
        <w:spacing w:line="240" w:lineRule="auto"/>
        <w:jc w:val="both"/>
        <w:rPr>
          <w:rFonts w:ascii="Arial" w:hAnsi="Arial" w:cs="Arial"/>
          <w:iCs/>
          <w:sz w:val="18"/>
          <w:szCs w:val="18"/>
        </w:rPr>
      </w:pPr>
      <w:r w:rsidRPr="00E70630">
        <w:rPr>
          <w:rFonts w:ascii="Arial" w:hAnsi="Arial" w:cs="Arial"/>
          <w:iCs/>
          <w:sz w:val="18"/>
          <w:szCs w:val="18"/>
        </w:rPr>
        <w:t xml:space="preserve">This document is provided to recipients on the basis that they keep confidential any information contained within it or otherwise made available, whether orally or in writing in connection with Puma Investments or otherwise. </w:t>
      </w:r>
    </w:p>
    <w:p w14:paraId="665B9490" w14:textId="77777777" w:rsidR="00E70630" w:rsidRPr="00E70630" w:rsidRDefault="00E70630" w:rsidP="00E70630">
      <w:pPr>
        <w:spacing w:line="240" w:lineRule="auto"/>
        <w:jc w:val="both"/>
        <w:rPr>
          <w:rFonts w:ascii="Arial" w:hAnsi="Arial" w:cs="Arial"/>
          <w:iCs/>
          <w:sz w:val="18"/>
          <w:szCs w:val="18"/>
        </w:rPr>
      </w:pPr>
      <w:r w:rsidRPr="00E70630">
        <w:rPr>
          <w:rFonts w:ascii="Arial" w:hAnsi="Arial" w:cs="Arial"/>
          <w:iCs/>
          <w:sz w:val="18"/>
          <w:szCs w:val="18"/>
        </w:rPr>
        <w:t xml:space="preserve">Certain information contained herein is based on information from third-party sources. While such sources are believed to be reliable, no independent verification of such data has been undertaken. Although Puma Investments has taken care to ensure that the information in this document is accurate and complete, Puma Investments and its affiliates, directors and employees assume no responsibility or liability whatsoever for the accuracy or completeness of the information or for any direct, indirect or consequential loss or damage howsoever arising. (This does not affect any liability owed under FCA rules). Any facts or statements in this document should not be </w:t>
      </w:r>
      <w:r w:rsidRPr="00E70630">
        <w:rPr>
          <w:rFonts w:ascii="Arial" w:hAnsi="Arial" w:cs="Arial"/>
          <w:iCs/>
          <w:sz w:val="18"/>
          <w:szCs w:val="18"/>
        </w:rPr>
        <w:lastRenderedPageBreak/>
        <w:t xml:space="preserve">relied upon. Neither Puma Investments nor any of its respective affiliates assume any responsibility to update any of the information provided.        </w:t>
      </w:r>
    </w:p>
    <w:p w14:paraId="72DB032F" w14:textId="77777777" w:rsidR="00E70630" w:rsidRDefault="00E70630" w:rsidP="00E70630">
      <w:pPr>
        <w:spacing w:line="240" w:lineRule="auto"/>
        <w:jc w:val="both"/>
        <w:rPr>
          <w:rFonts w:ascii="Arial" w:hAnsi="Arial" w:cs="Arial"/>
          <w:iCs/>
          <w:sz w:val="18"/>
          <w:szCs w:val="18"/>
        </w:rPr>
      </w:pPr>
    </w:p>
    <w:p w14:paraId="625F58BD" w14:textId="31402CC3" w:rsidR="00E70630" w:rsidRPr="00E70630" w:rsidRDefault="00E70630" w:rsidP="00E70630">
      <w:pPr>
        <w:spacing w:line="240" w:lineRule="auto"/>
        <w:jc w:val="both"/>
        <w:rPr>
          <w:rFonts w:ascii="Arial" w:hAnsi="Arial" w:cs="Arial"/>
          <w:b/>
          <w:bCs/>
          <w:iCs/>
          <w:sz w:val="18"/>
          <w:szCs w:val="18"/>
          <w:lang w:val="en-US"/>
        </w:rPr>
      </w:pPr>
      <w:r w:rsidRPr="00E70630">
        <w:rPr>
          <w:rFonts w:ascii="Arial" w:hAnsi="Arial" w:cs="Arial"/>
          <w:b/>
          <w:bCs/>
          <w:iCs/>
          <w:sz w:val="18"/>
          <w:szCs w:val="18"/>
        </w:rPr>
        <w:t xml:space="preserve">Date </w:t>
      </w:r>
      <w:r>
        <w:rPr>
          <w:rFonts w:ascii="Arial" w:hAnsi="Arial" w:cs="Arial"/>
          <w:b/>
          <w:bCs/>
          <w:iCs/>
          <w:sz w:val="18"/>
          <w:szCs w:val="18"/>
        </w:rPr>
        <w:t>p</w:t>
      </w:r>
      <w:r w:rsidRPr="00E70630">
        <w:rPr>
          <w:rFonts w:ascii="Arial" w:hAnsi="Arial" w:cs="Arial"/>
          <w:b/>
          <w:bCs/>
          <w:iCs/>
          <w:sz w:val="18"/>
          <w:szCs w:val="18"/>
        </w:rPr>
        <w:t xml:space="preserve">ublished: </w:t>
      </w:r>
      <w:r w:rsidR="000F7908">
        <w:rPr>
          <w:rFonts w:ascii="Arial" w:hAnsi="Arial" w:cs="Arial"/>
          <w:b/>
          <w:bCs/>
          <w:iCs/>
          <w:sz w:val="18"/>
          <w:szCs w:val="18"/>
        </w:rPr>
        <w:t>December</w:t>
      </w:r>
      <w:r w:rsidR="00A67180">
        <w:rPr>
          <w:rFonts w:ascii="Arial" w:hAnsi="Arial" w:cs="Arial"/>
          <w:b/>
          <w:bCs/>
          <w:iCs/>
          <w:sz w:val="18"/>
          <w:szCs w:val="18"/>
        </w:rPr>
        <w:t xml:space="preserve"> 202</w:t>
      </w:r>
      <w:r w:rsidR="004720F9">
        <w:rPr>
          <w:rFonts w:ascii="Arial" w:hAnsi="Arial" w:cs="Arial"/>
          <w:b/>
          <w:bCs/>
          <w:iCs/>
          <w:sz w:val="18"/>
          <w:szCs w:val="18"/>
        </w:rPr>
        <w:t>5</w:t>
      </w:r>
    </w:p>
    <w:p w14:paraId="35309384" w14:textId="0A369B59" w:rsidR="0089502F" w:rsidRPr="0045227C" w:rsidRDefault="0089502F" w:rsidP="00E70630">
      <w:pPr>
        <w:spacing w:after="0"/>
        <w:jc w:val="both"/>
        <w:rPr>
          <w:rFonts w:ascii="Arial" w:hAnsi="Arial" w:cs="Arial"/>
          <w:bCs/>
          <w:sz w:val="18"/>
          <w:szCs w:val="18"/>
        </w:rPr>
      </w:pPr>
    </w:p>
    <w:sectPr w:rsidR="0089502F" w:rsidRPr="0045227C">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9C05F" w14:textId="77777777" w:rsidR="00376936" w:rsidRDefault="00376936" w:rsidP="00462431">
      <w:pPr>
        <w:spacing w:after="0" w:line="240" w:lineRule="auto"/>
      </w:pPr>
      <w:r>
        <w:separator/>
      </w:r>
    </w:p>
  </w:endnote>
  <w:endnote w:type="continuationSeparator" w:id="0">
    <w:p w14:paraId="4A6ABF94" w14:textId="77777777" w:rsidR="00376936" w:rsidRDefault="00376936" w:rsidP="00462431">
      <w:pPr>
        <w:spacing w:after="0" w:line="240" w:lineRule="auto"/>
      </w:pPr>
      <w:r>
        <w:continuationSeparator/>
      </w:r>
    </w:p>
  </w:endnote>
  <w:endnote w:type="continuationNotice" w:id="1">
    <w:p w14:paraId="6AC2AB0F" w14:textId="77777777" w:rsidR="00376936" w:rsidRDefault="003769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C3A1C" w14:textId="77777777" w:rsidR="00407028" w:rsidRPr="003F2A49" w:rsidRDefault="00407028" w:rsidP="003F2A49">
    <w:pPr>
      <w:spacing w:after="0" w:line="240" w:lineRule="auto"/>
      <w:jc w:val="both"/>
      <w:rPr>
        <w:rFonts w:cstheme="minorHAnsi"/>
        <w:color w:val="0000FF"/>
        <w:sz w:val="16"/>
        <w:szCs w:val="16"/>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59547" w14:textId="77777777" w:rsidR="00376936" w:rsidRDefault="00376936" w:rsidP="00462431">
      <w:pPr>
        <w:spacing w:after="0" w:line="240" w:lineRule="auto"/>
      </w:pPr>
      <w:r>
        <w:separator/>
      </w:r>
    </w:p>
  </w:footnote>
  <w:footnote w:type="continuationSeparator" w:id="0">
    <w:p w14:paraId="0675FBC6" w14:textId="77777777" w:rsidR="00376936" w:rsidRDefault="00376936" w:rsidP="00462431">
      <w:pPr>
        <w:spacing w:after="0" w:line="240" w:lineRule="auto"/>
      </w:pPr>
      <w:r>
        <w:continuationSeparator/>
      </w:r>
    </w:p>
  </w:footnote>
  <w:footnote w:type="continuationNotice" w:id="1">
    <w:p w14:paraId="340C3EB8" w14:textId="77777777" w:rsidR="00376936" w:rsidRDefault="00376936">
      <w:pPr>
        <w:spacing w:after="0" w:line="240" w:lineRule="auto"/>
      </w:pPr>
    </w:p>
  </w:footnote>
  <w:footnote w:id="2">
    <w:p w14:paraId="526E3484" w14:textId="753EABD7" w:rsidR="003F3910" w:rsidRPr="00102D77" w:rsidRDefault="003F3910">
      <w:pPr>
        <w:pStyle w:val="FootnoteText"/>
        <w:rPr>
          <w:vertAlign w:val="superscript"/>
        </w:rPr>
      </w:pPr>
      <w:r w:rsidRPr="00102D77">
        <w:rPr>
          <w:rStyle w:val="FootnoteReference"/>
        </w:rPr>
        <w:footnoteRef/>
      </w:r>
      <w:r w:rsidRPr="00102D77">
        <w:rPr>
          <w:vertAlign w:val="superscript"/>
        </w:rPr>
        <w:t xml:space="preserve"> </w:t>
      </w:r>
      <w:r w:rsidR="00102D77" w:rsidRPr="00102D77">
        <w:rPr>
          <w:vertAlign w:val="superscript"/>
        </w:rPr>
        <w:t>Please note that from April 2026, full Inheritance Tax Relief on Business Relief qualifying investments will be limited to £1,000,000.  Any Business Relief qualifying assets with a value in excess of £1,000,000 will attract an Inheritance Tax Rate of 20%. Therefore providing 50% relief from the current IHT rate of 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62B66" w14:textId="0882B3F2" w:rsidR="00407028" w:rsidRPr="005352A4" w:rsidRDefault="000030A5" w:rsidP="00127485">
    <w:pPr>
      <w:pStyle w:val="Header"/>
      <w:jc w:val="right"/>
      <w:rPr>
        <w:b/>
      </w:rPr>
    </w:pPr>
    <w:r>
      <w:rPr>
        <w:rFonts w:ascii="Arial" w:hAnsi="Arial" w:cs="Arial"/>
        <w:noProof/>
        <w:sz w:val="20"/>
        <w:szCs w:val="20"/>
      </w:rPr>
      <w:drawing>
        <wp:anchor distT="0" distB="0" distL="114300" distR="114300" simplePos="0" relativeHeight="251658240" behindDoc="0" locked="0" layoutInCell="1" allowOverlap="0" wp14:anchorId="791023AD" wp14:editId="615443FD">
          <wp:simplePos x="0" y="0"/>
          <wp:positionH relativeFrom="column">
            <wp:posOffset>3514725</wp:posOffset>
          </wp:positionH>
          <wp:positionV relativeFrom="paragraph">
            <wp:posOffset>7620</wp:posOffset>
          </wp:positionV>
          <wp:extent cx="2361600" cy="997200"/>
          <wp:effectExtent l="0" t="0" r="635" b="0"/>
          <wp:wrapThrough wrapText="bothSides">
            <wp:wrapPolygon edited="0">
              <wp:start x="0" y="0"/>
              <wp:lineTo x="0" y="21050"/>
              <wp:lineTo x="21432" y="21050"/>
              <wp:lineTo x="21432" y="0"/>
              <wp:lineTo x="0" y="0"/>
            </wp:wrapPolygon>
          </wp:wrapThrough>
          <wp:docPr id="8" name="Picture 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rotWithShape="1">
                  <a:blip r:embed="rId1">
                    <a:extLst>
                      <a:ext uri="{28A0092B-C50C-407E-A947-70E740481C1C}">
                        <a14:useLocalDpi xmlns:a14="http://schemas.microsoft.com/office/drawing/2010/main" val="0"/>
                      </a:ext>
                    </a:extLst>
                  </a:blip>
                  <a:srcRect l="12319" r="10012" b="16177"/>
                  <a:stretch/>
                </pic:blipFill>
                <pic:spPr bwMode="auto">
                  <a:xfrm>
                    <a:off x="0" y="0"/>
                    <a:ext cx="2361600" cy="997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5EF299C" w14:textId="77777777" w:rsidR="00127485" w:rsidRDefault="00127485" w:rsidP="00127485">
    <w:pPr>
      <w:pStyle w:val="Header"/>
      <w:jc w:val="center"/>
      <w:rPr>
        <w:b/>
      </w:rPr>
    </w:pPr>
  </w:p>
  <w:p w14:paraId="44164950" w14:textId="77777777" w:rsidR="00127485" w:rsidRDefault="00127485" w:rsidP="00127485">
    <w:pPr>
      <w:pStyle w:val="Header"/>
      <w:jc w:val="center"/>
      <w:rPr>
        <w:b/>
      </w:rPr>
    </w:pPr>
  </w:p>
  <w:p w14:paraId="5312927C" w14:textId="77777777" w:rsidR="00127485" w:rsidRDefault="00127485" w:rsidP="00127485">
    <w:pPr>
      <w:pStyle w:val="Header"/>
      <w:jc w:val="center"/>
      <w:rPr>
        <w:b/>
      </w:rPr>
    </w:pPr>
  </w:p>
  <w:p w14:paraId="095B802E" w14:textId="77777777" w:rsidR="00127485" w:rsidRDefault="00127485" w:rsidP="00127485">
    <w:pPr>
      <w:pStyle w:val="Header"/>
      <w:jc w:val="center"/>
      <w:rPr>
        <w:b/>
      </w:rPr>
    </w:pPr>
  </w:p>
  <w:p w14:paraId="7D03AD23" w14:textId="77777777" w:rsidR="00127485" w:rsidRDefault="00127485" w:rsidP="00D136A7">
    <w:pPr>
      <w:pStyle w:val="Header"/>
      <w:rPr>
        <w:b/>
      </w:rPr>
    </w:pPr>
  </w:p>
  <w:p w14:paraId="616B78EF" w14:textId="77777777" w:rsidR="00407028" w:rsidRDefault="004070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2AF4"/>
    <w:multiLevelType w:val="hybridMultilevel"/>
    <w:tmpl w:val="ED3CAD66"/>
    <w:lvl w:ilvl="0" w:tplc="08090001">
      <w:start w:val="1"/>
      <w:numFmt w:val="bullet"/>
      <w:lvlText w:val=""/>
      <w:lvlJc w:val="left"/>
      <w:pPr>
        <w:ind w:left="720" w:hanging="360"/>
      </w:pPr>
      <w:rPr>
        <w:rFonts w:ascii="Symbol" w:hAnsi="Symbol" w:hint="default"/>
      </w:rPr>
    </w:lvl>
    <w:lvl w:ilvl="1" w:tplc="AAF4C2C4">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4A023E"/>
    <w:multiLevelType w:val="hybridMultilevel"/>
    <w:tmpl w:val="33628030"/>
    <w:lvl w:ilvl="0" w:tplc="EF6EE5DE">
      <w:numFmt w:val="bullet"/>
      <w:lvlText w:val="•"/>
      <w:lvlJc w:val="left"/>
      <w:pPr>
        <w:ind w:left="720" w:hanging="360"/>
      </w:pPr>
      <w:rPr>
        <w:rFonts w:ascii="Calibri" w:eastAsia="Calibri"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A81A59"/>
    <w:multiLevelType w:val="hybridMultilevel"/>
    <w:tmpl w:val="DA5A627C"/>
    <w:lvl w:ilvl="0" w:tplc="8A8469B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4D1EF4"/>
    <w:multiLevelType w:val="hybridMultilevel"/>
    <w:tmpl w:val="4266B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B92074"/>
    <w:multiLevelType w:val="hybridMultilevel"/>
    <w:tmpl w:val="7DAC9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8968A5"/>
    <w:multiLevelType w:val="hybridMultilevel"/>
    <w:tmpl w:val="A46EB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957E81"/>
    <w:multiLevelType w:val="hybridMultilevel"/>
    <w:tmpl w:val="041CF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C65007"/>
    <w:multiLevelType w:val="hybridMultilevel"/>
    <w:tmpl w:val="E56A9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086CA5"/>
    <w:multiLevelType w:val="hybridMultilevel"/>
    <w:tmpl w:val="98F6C1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91593A"/>
    <w:multiLevelType w:val="hybridMultilevel"/>
    <w:tmpl w:val="7BACDE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6E404CB"/>
    <w:multiLevelType w:val="hybridMultilevel"/>
    <w:tmpl w:val="3FB21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851CE4"/>
    <w:multiLevelType w:val="hybridMultilevel"/>
    <w:tmpl w:val="22CE9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3B2A51"/>
    <w:multiLevelType w:val="hybridMultilevel"/>
    <w:tmpl w:val="96D4B626"/>
    <w:lvl w:ilvl="0" w:tplc="C3CAA8F6">
      <w:start w:val="2"/>
      <w:numFmt w:val="bullet"/>
      <w:lvlText w:val="-"/>
      <w:lvlJc w:val="left"/>
      <w:pPr>
        <w:ind w:left="1080" w:hanging="360"/>
      </w:pPr>
      <w:rPr>
        <w:rFonts w:ascii="Arial" w:eastAsiaTheme="minorHAnsi" w:hAnsi="Arial" w:cs="Arial"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B7C24F7"/>
    <w:multiLevelType w:val="hybridMultilevel"/>
    <w:tmpl w:val="BFE44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6392750">
    <w:abstractNumId w:val="2"/>
  </w:num>
  <w:num w:numId="2" w16cid:durableId="1902985662">
    <w:abstractNumId w:val="11"/>
  </w:num>
  <w:num w:numId="3" w16cid:durableId="602110938">
    <w:abstractNumId w:val="4"/>
  </w:num>
  <w:num w:numId="4" w16cid:durableId="1844198519">
    <w:abstractNumId w:val="8"/>
  </w:num>
  <w:num w:numId="5" w16cid:durableId="557476581">
    <w:abstractNumId w:val="7"/>
  </w:num>
  <w:num w:numId="6" w16cid:durableId="798035422">
    <w:abstractNumId w:val="1"/>
  </w:num>
  <w:num w:numId="7" w16cid:durableId="1056051265">
    <w:abstractNumId w:val="0"/>
  </w:num>
  <w:num w:numId="8" w16cid:durableId="169758220">
    <w:abstractNumId w:val="10"/>
  </w:num>
  <w:num w:numId="9" w16cid:durableId="1590121615">
    <w:abstractNumId w:val="5"/>
  </w:num>
  <w:num w:numId="10" w16cid:durableId="1168406312">
    <w:abstractNumId w:val="6"/>
  </w:num>
  <w:num w:numId="11" w16cid:durableId="32578627">
    <w:abstractNumId w:val="9"/>
  </w:num>
  <w:num w:numId="12" w16cid:durableId="1884057077">
    <w:abstractNumId w:val="3"/>
  </w:num>
  <w:num w:numId="13" w16cid:durableId="711542454">
    <w:abstractNumId w:val="13"/>
  </w:num>
  <w:num w:numId="14" w16cid:durableId="15234707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5BE"/>
    <w:rsid w:val="000030A5"/>
    <w:rsid w:val="00003CB2"/>
    <w:rsid w:val="000106DB"/>
    <w:rsid w:val="00014EFB"/>
    <w:rsid w:val="000176F0"/>
    <w:rsid w:val="00023FB3"/>
    <w:rsid w:val="0003116F"/>
    <w:rsid w:val="00031E3C"/>
    <w:rsid w:val="0003405D"/>
    <w:rsid w:val="00046C8F"/>
    <w:rsid w:val="00056302"/>
    <w:rsid w:val="00060661"/>
    <w:rsid w:val="000658D2"/>
    <w:rsid w:val="000765E4"/>
    <w:rsid w:val="000878C1"/>
    <w:rsid w:val="000941CC"/>
    <w:rsid w:val="000A2653"/>
    <w:rsid w:val="000A660A"/>
    <w:rsid w:val="000B3B5F"/>
    <w:rsid w:val="000C0AA6"/>
    <w:rsid w:val="000C22D0"/>
    <w:rsid w:val="000C2C9C"/>
    <w:rsid w:val="000F389F"/>
    <w:rsid w:val="000F4DA4"/>
    <w:rsid w:val="000F7908"/>
    <w:rsid w:val="00102D77"/>
    <w:rsid w:val="00110E14"/>
    <w:rsid w:val="0011368C"/>
    <w:rsid w:val="00114E94"/>
    <w:rsid w:val="00116C18"/>
    <w:rsid w:val="00122DEE"/>
    <w:rsid w:val="001265BE"/>
    <w:rsid w:val="00126A71"/>
    <w:rsid w:val="00127485"/>
    <w:rsid w:val="00130098"/>
    <w:rsid w:val="00132D3C"/>
    <w:rsid w:val="00135E7E"/>
    <w:rsid w:val="00135FEC"/>
    <w:rsid w:val="001362CA"/>
    <w:rsid w:val="00140619"/>
    <w:rsid w:val="00140EEE"/>
    <w:rsid w:val="00142971"/>
    <w:rsid w:val="00142CB1"/>
    <w:rsid w:val="001554A7"/>
    <w:rsid w:val="00156CEA"/>
    <w:rsid w:val="00165BD0"/>
    <w:rsid w:val="00175B91"/>
    <w:rsid w:val="00176486"/>
    <w:rsid w:val="0018096F"/>
    <w:rsid w:val="00182524"/>
    <w:rsid w:val="001B0BD6"/>
    <w:rsid w:val="001C29CB"/>
    <w:rsid w:val="001C41DB"/>
    <w:rsid w:val="001C5085"/>
    <w:rsid w:val="001C6EF5"/>
    <w:rsid w:val="001C6F86"/>
    <w:rsid w:val="001D2FF3"/>
    <w:rsid w:val="001D3852"/>
    <w:rsid w:val="001E0F94"/>
    <w:rsid w:val="001F0118"/>
    <w:rsid w:val="001F652A"/>
    <w:rsid w:val="002049D7"/>
    <w:rsid w:val="00206D3F"/>
    <w:rsid w:val="00217109"/>
    <w:rsid w:val="002205BD"/>
    <w:rsid w:val="002257A0"/>
    <w:rsid w:val="002277CF"/>
    <w:rsid w:val="00232807"/>
    <w:rsid w:val="002363D3"/>
    <w:rsid w:val="002422B1"/>
    <w:rsid w:val="00246F2C"/>
    <w:rsid w:val="002511B8"/>
    <w:rsid w:val="002545CB"/>
    <w:rsid w:val="002656F8"/>
    <w:rsid w:val="0028489D"/>
    <w:rsid w:val="00292E3D"/>
    <w:rsid w:val="00293AA5"/>
    <w:rsid w:val="002A32CB"/>
    <w:rsid w:val="002B0FB6"/>
    <w:rsid w:val="002B1327"/>
    <w:rsid w:val="002B1788"/>
    <w:rsid w:val="002C302A"/>
    <w:rsid w:val="002C3AE1"/>
    <w:rsid w:val="002C41B0"/>
    <w:rsid w:val="002C44EB"/>
    <w:rsid w:val="002D1156"/>
    <w:rsid w:val="002D5C08"/>
    <w:rsid w:val="002E388B"/>
    <w:rsid w:val="002F7069"/>
    <w:rsid w:val="00310FE5"/>
    <w:rsid w:val="00325DA8"/>
    <w:rsid w:val="00333AC3"/>
    <w:rsid w:val="00337031"/>
    <w:rsid w:val="00337A64"/>
    <w:rsid w:val="0034350A"/>
    <w:rsid w:val="00344925"/>
    <w:rsid w:val="003549DB"/>
    <w:rsid w:val="00355D4D"/>
    <w:rsid w:val="00357ACC"/>
    <w:rsid w:val="00357EDF"/>
    <w:rsid w:val="00376936"/>
    <w:rsid w:val="00386F1B"/>
    <w:rsid w:val="00391C45"/>
    <w:rsid w:val="003A016F"/>
    <w:rsid w:val="003A0D66"/>
    <w:rsid w:val="003A3447"/>
    <w:rsid w:val="003A348C"/>
    <w:rsid w:val="003A64E7"/>
    <w:rsid w:val="003B60B4"/>
    <w:rsid w:val="003D2980"/>
    <w:rsid w:val="003D4039"/>
    <w:rsid w:val="003D6DD0"/>
    <w:rsid w:val="003D7882"/>
    <w:rsid w:val="003D7F50"/>
    <w:rsid w:val="003E1858"/>
    <w:rsid w:val="003E70B1"/>
    <w:rsid w:val="003F2A49"/>
    <w:rsid w:val="003F3910"/>
    <w:rsid w:val="003F5EA0"/>
    <w:rsid w:val="003F640A"/>
    <w:rsid w:val="003F6AA1"/>
    <w:rsid w:val="00407028"/>
    <w:rsid w:val="00423751"/>
    <w:rsid w:val="00424160"/>
    <w:rsid w:val="00435B7A"/>
    <w:rsid w:val="00437001"/>
    <w:rsid w:val="00441F71"/>
    <w:rsid w:val="00444778"/>
    <w:rsid w:val="00445C85"/>
    <w:rsid w:val="004464B2"/>
    <w:rsid w:val="0045227C"/>
    <w:rsid w:val="00462431"/>
    <w:rsid w:val="00463A8D"/>
    <w:rsid w:val="004720F9"/>
    <w:rsid w:val="00477900"/>
    <w:rsid w:val="00477CED"/>
    <w:rsid w:val="004830D8"/>
    <w:rsid w:val="00484853"/>
    <w:rsid w:val="00497480"/>
    <w:rsid w:val="004A00C3"/>
    <w:rsid w:val="004A0F9F"/>
    <w:rsid w:val="004B1C4F"/>
    <w:rsid w:val="004B1CA0"/>
    <w:rsid w:val="004B5A14"/>
    <w:rsid w:val="004C0AB5"/>
    <w:rsid w:val="004C3D61"/>
    <w:rsid w:val="004D46A0"/>
    <w:rsid w:val="004F0990"/>
    <w:rsid w:val="004F1189"/>
    <w:rsid w:val="004F45F6"/>
    <w:rsid w:val="0050483E"/>
    <w:rsid w:val="00505963"/>
    <w:rsid w:val="00512421"/>
    <w:rsid w:val="00532A49"/>
    <w:rsid w:val="00535C1B"/>
    <w:rsid w:val="00552356"/>
    <w:rsid w:val="00570059"/>
    <w:rsid w:val="00572F8E"/>
    <w:rsid w:val="00573137"/>
    <w:rsid w:val="00573574"/>
    <w:rsid w:val="00586A04"/>
    <w:rsid w:val="00592AF4"/>
    <w:rsid w:val="00597D3C"/>
    <w:rsid w:val="005A59CC"/>
    <w:rsid w:val="005B2185"/>
    <w:rsid w:val="005B3DAC"/>
    <w:rsid w:val="005C1DA7"/>
    <w:rsid w:val="005C5813"/>
    <w:rsid w:val="005D784C"/>
    <w:rsid w:val="005E068C"/>
    <w:rsid w:val="005E1F29"/>
    <w:rsid w:val="005E30F0"/>
    <w:rsid w:val="005E32F9"/>
    <w:rsid w:val="0061158F"/>
    <w:rsid w:val="00614FCA"/>
    <w:rsid w:val="00617AC6"/>
    <w:rsid w:val="00623E8F"/>
    <w:rsid w:val="00634E11"/>
    <w:rsid w:val="00635231"/>
    <w:rsid w:val="00642246"/>
    <w:rsid w:val="006528C9"/>
    <w:rsid w:val="00654838"/>
    <w:rsid w:val="00660441"/>
    <w:rsid w:val="0066698A"/>
    <w:rsid w:val="00666E30"/>
    <w:rsid w:val="00680920"/>
    <w:rsid w:val="00682494"/>
    <w:rsid w:val="006953BE"/>
    <w:rsid w:val="00696971"/>
    <w:rsid w:val="006978A0"/>
    <w:rsid w:val="006B2196"/>
    <w:rsid w:val="006B6EDC"/>
    <w:rsid w:val="006D6894"/>
    <w:rsid w:val="006F0CFC"/>
    <w:rsid w:val="006F30F0"/>
    <w:rsid w:val="006F7D55"/>
    <w:rsid w:val="00704470"/>
    <w:rsid w:val="00712C05"/>
    <w:rsid w:val="007137A5"/>
    <w:rsid w:val="00724E07"/>
    <w:rsid w:val="00726F0F"/>
    <w:rsid w:val="00730E65"/>
    <w:rsid w:val="00734E34"/>
    <w:rsid w:val="00752540"/>
    <w:rsid w:val="0075698E"/>
    <w:rsid w:val="007603A1"/>
    <w:rsid w:val="00762C99"/>
    <w:rsid w:val="007709FD"/>
    <w:rsid w:val="00772FB0"/>
    <w:rsid w:val="007763E6"/>
    <w:rsid w:val="00777D94"/>
    <w:rsid w:val="00777EC0"/>
    <w:rsid w:val="00783D8E"/>
    <w:rsid w:val="00784FCB"/>
    <w:rsid w:val="00786F94"/>
    <w:rsid w:val="00790FF6"/>
    <w:rsid w:val="007A09D6"/>
    <w:rsid w:val="007A4374"/>
    <w:rsid w:val="007B1CEF"/>
    <w:rsid w:val="007B3891"/>
    <w:rsid w:val="007B4BB6"/>
    <w:rsid w:val="007B4ECE"/>
    <w:rsid w:val="007C00ED"/>
    <w:rsid w:val="007C0E25"/>
    <w:rsid w:val="007C12EA"/>
    <w:rsid w:val="007C6CE7"/>
    <w:rsid w:val="007D6EA8"/>
    <w:rsid w:val="007D7112"/>
    <w:rsid w:val="007E1015"/>
    <w:rsid w:val="007E1285"/>
    <w:rsid w:val="007E1FB4"/>
    <w:rsid w:val="007F16A5"/>
    <w:rsid w:val="007F3DAC"/>
    <w:rsid w:val="008143A2"/>
    <w:rsid w:val="00821835"/>
    <w:rsid w:val="00823A9E"/>
    <w:rsid w:val="00826BF0"/>
    <w:rsid w:val="00827B9E"/>
    <w:rsid w:val="008333FB"/>
    <w:rsid w:val="00842D3E"/>
    <w:rsid w:val="00843342"/>
    <w:rsid w:val="00847BB3"/>
    <w:rsid w:val="0085534D"/>
    <w:rsid w:val="0086109B"/>
    <w:rsid w:val="00865AD4"/>
    <w:rsid w:val="00890E2E"/>
    <w:rsid w:val="0089315E"/>
    <w:rsid w:val="00894835"/>
    <w:rsid w:val="0089502F"/>
    <w:rsid w:val="008B25FF"/>
    <w:rsid w:val="008C790E"/>
    <w:rsid w:val="008D47B9"/>
    <w:rsid w:val="008E04FC"/>
    <w:rsid w:val="008E30FE"/>
    <w:rsid w:val="008E6770"/>
    <w:rsid w:val="008E7433"/>
    <w:rsid w:val="008F2F1E"/>
    <w:rsid w:val="00913154"/>
    <w:rsid w:val="00914A9D"/>
    <w:rsid w:val="0091525B"/>
    <w:rsid w:val="0092252D"/>
    <w:rsid w:val="00925846"/>
    <w:rsid w:val="00932A34"/>
    <w:rsid w:val="00937276"/>
    <w:rsid w:val="0094309D"/>
    <w:rsid w:val="0094398B"/>
    <w:rsid w:val="00943DB6"/>
    <w:rsid w:val="00957821"/>
    <w:rsid w:val="00960B5C"/>
    <w:rsid w:val="00961227"/>
    <w:rsid w:val="00965BC0"/>
    <w:rsid w:val="00970391"/>
    <w:rsid w:val="00975C03"/>
    <w:rsid w:val="0098658B"/>
    <w:rsid w:val="00993B58"/>
    <w:rsid w:val="00994FB6"/>
    <w:rsid w:val="009A3DB8"/>
    <w:rsid w:val="009A46F2"/>
    <w:rsid w:val="009A59F8"/>
    <w:rsid w:val="009B4A9A"/>
    <w:rsid w:val="009C160C"/>
    <w:rsid w:val="009D7F72"/>
    <w:rsid w:val="009F5F1A"/>
    <w:rsid w:val="00A03666"/>
    <w:rsid w:val="00A07F59"/>
    <w:rsid w:val="00A13B8D"/>
    <w:rsid w:val="00A30C5C"/>
    <w:rsid w:val="00A61268"/>
    <w:rsid w:val="00A62B0F"/>
    <w:rsid w:val="00A62E15"/>
    <w:rsid w:val="00A67180"/>
    <w:rsid w:val="00A704BB"/>
    <w:rsid w:val="00A72022"/>
    <w:rsid w:val="00A72958"/>
    <w:rsid w:val="00A80BD5"/>
    <w:rsid w:val="00A817F1"/>
    <w:rsid w:val="00A85622"/>
    <w:rsid w:val="00A87B02"/>
    <w:rsid w:val="00AA1BAC"/>
    <w:rsid w:val="00AA2D56"/>
    <w:rsid w:val="00AB0A86"/>
    <w:rsid w:val="00AB2C33"/>
    <w:rsid w:val="00AB5038"/>
    <w:rsid w:val="00AB6C53"/>
    <w:rsid w:val="00AC0018"/>
    <w:rsid w:val="00AC5FD1"/>
    <w:rsid w:val="00AE4216"/>
    <w:rsid w:val="00AF3322"/>
    <w:rsid w:val="00B04744"/>
    <w:rsid w:val="00B04EA4"/>
    <w:rsid w:val="00B0542B"/>
    <w:rsid w:val="00B06EEE"/>
    <w:rsid w:val="00B10259"/>
    <w:rsid w:val="00B105D2"/>
    <w:rsid w:val="00B1322D"/>
    <w:rsid w:val="00B30C4E"/>
    <w:rsid w:val="00B35498"/>
    <w:rsid w:val="00B4788B"/>
    <w:rsid w:val="00B60EF3"/>
    <w:rsid w:val="00B61F57"/>
    <w:rsid w:val="00B6423A"/>
    <w:rsid w:val="00B83418"/>
    <w:rsid w:val="00B83AEC"/>
    <w:rsid w:val="00B850D3"/>
    <w:rsid w:val="00B966C9"/>
    <w:rsid w:val="00BA2DE6"/>
    <w:rsid w:val="00BA7133"/>
    <w:rsid w:val="00BA73A4"/>
    <w:rsid w:val="00BB31C1"/>
    <w:rsid w:val="00BB3714"/>
    <w:rsid w:val="00BB577A"/>
    <w:rsid w:val="00BC2934"/>
    <w:rsid w:val="00BD0E8B"/>
    <w:rsid w:val="00BD315E"/>
    <w:rsid w:val="00BD6074"/>
    <w:rsid w:val="00BE0755"/>
    <w:rsid w:val="00BE55BF"/>
    <w:rsid w:val="00BE628B"/>
    <w:rsid w:val="00BE7DCA"/>
    <w:rsid w:val="00BF09C0"/>
    <w:rsid w:val="00BF23F8"/>
    <w:rsid w:val="00BF537A"/>
    <w:rsid w:val="00C00282"/>
    <w:rsid w:val="00C01D48"/>
    <w:rsid w:val="00C12EE5"/>
    <w:rsid w:val="00C33602"/>
    <w:rsid w:val="00C36657"/>
    <w:rsid w:val="00C44FE5"/>
    <w:rsid w:val="00C46795"/>
    <w:rsid w:val="00C47A1F"/>
    <w:rsid w:val="00C521CA"/>
    <w:rsid w:val="00C55805"/>
    <w:rsid w:val="00C6698D"/>
    <w:rsid w:val="00C6746D"/>
    <w:rsid w:val="00C71F35"/>
    <w:rsid w:val="00C721D7"/>
    <w:rsid w:val="00C733D4"/>
    <w:rsid w:val="00C743EE"/>
    <w:rsid w:val="00C766AE"/>
    <w:rsid w:val="00C838AD"/>
    <w:rsid w:val="00C85F26"/>
    <w:rsid w:val="00C92705"/>
    <w:rsid w:val="00C95BFE"/>
    <w:rsid w:val="00CA1CAA"/>
    <w:rsid w:val="00CD2265"/>
    <w:rsid w:val="00CD7A71"/>
    <w:rsid w:val="00CE2B20"/>
    <w:rsid w:val="00CF16BE"/>
    <w:rsid w:val="00CF18AB"/>
    <w:rsid w:val="00CF1C9F"/>
    <w:rsid w:val="00CF2EF2"/>
    <w:rsid w:val="00D07B39"/>
    <w:rsid w:val="00D131A6"/>
    <w:rsid w:val="00D136A7"/>
    <w:rsid w:val="00D14F2E"/>
    <w:rsid w:val="00D1721C"/>
    <w:rsid w:val="00D20E10"/>
    <w:rsid w:val="00D260AC"/>
    <w:rsid w:val="00D3535D"/>
    <w:rsid w:val="00D407EA"/>
    <w:rsid w:val="00D4102D"/>
    <w:rsid w:val="00D459B9"/>
    <w:rsid w:val="00D45B66"/>
    <w:rsid w:val="00D46CA9"/>
    <w:rsid w:val="00D52382"/>
    <w:rsid w:val="00D6339C"/>
    <w:rsid w:val="00D84B72"/>
    <w:rsid w:val="00D85638"/>
    <w:rsid w:val="00D94A54"/>
    <w:rsid w:val="00DA034F"/>
    <w:rsid w:val="00DA2BCE"/>
    <w:rsid w:val="00DB1D64"/>
    <w:rsid w:val="00DC03DD"/>
    <w:rsid w:val="00DC04AA"/>
    <w:rsid w:val="00DC1FB4"/>
    <w:rsid w:val="00DC30FA"/>
    <w:rsid w:val="00DC37D3"/>
    <w:rsid w:val="00DD59E0"/>
    <w:rsid w:val="00DF2C18"/>
    <w:rsid w:val="00DF473F"/>
    <w:rsid w:val="00E0248D"/>
    <w:rsid w:val="00E04506"/>
    <w:rsid w:val="00E115EA"/>
    <w:rsid w:val="00E2045E"/>
    <w:rsid w:val="00E331E2"/>
    <w:rsid w:val="00E3598E"/>
    <w:rsid w:val="00E37BCC"/>
    <w:rsid w:val="00E42D71"/>
    <w:rsid w:val="00E42E0C"/>
    <w:rsid w:val="00E44657"/>
    <w:rsid w:val="00E45801"/>
    <w:rsid w:val="00E46718"/>
    <w:rsid w:val="00E50C9F"/>
    <w:rsid w:val="00E566CD"/>
    <w:rsid w:val="00E6069E"/>
    <w:rsid w:val="00E6363A"/>
    <w:rsid w:val="00E70630"/>
    <w:rsid w:val="00E851C9"/>
    <w:rsid w:val="00E862C9"/>
    <w:rsid w:val="00E87B31"/>
    <w:rsid w:val="00E91F05"/>
    <w:rsid w:val="00E93EF1"/>
    <w:rsid w:val="00EA0622"/>
    <w:rsid w:val="00EB5176"/>
    <w:rsid w:val="00EC02E9"/>
    <w:rsid w:val="00EC3272"/>
    <w:rsid w:val="00ED07C7"/>
    <w:rsid w:val="00ED50D9"/>
    <w:rsid w:val="00ED5181"/>
    <w:rsid w:val="00ED52FB"/>
    <w:rsid w:val="00EE17EE"/>
    <w:rsid w:val="00EE2EBF"/>
    <w:rsid w:val="00EE7AEF"/>
    <w:rsid w:val="00EF3484"/>
    <w:rsid w:val="00F07A55"/>
    <w:rsid w:val="00F2139F"/>
    <w:rsid w:val="00F23E62"/>
    <w:rsid w:val="00F31C72"/>
    <w:rsid w:val="00F352FC"/>
    <w:rsid w:val="00F35BDC"/>
    <w:rsid w:val="00F379CE"/>
    <w:rsid w:val="00F40E1A"/>
    <w:rsid w:val="00F41BA4"/>
    <w:rsid w:val="00F456CB"/>
    <w:rsid w:val="00F6448D"/>
    <w:rsid w:val="00F67781"/>
    <w:rsid w:val="00F73A62"/>
    <w:rsid w:val="00F7716B"/>
    <w:rsid w:val="00F7769C"/>
    <w:rsid w:val="00F80EE4"/>
    <w:rsid w:val="00FA6695"/>
    <w:rsid w:val="00FB55E4"/>
    <w:rsid w:val="00FB6E13"/>
    <w:rsid w:val="00FC2516"/>
    <w:rsid w:val="00FC3820"/>
    <w:rsid w:val="00FC4B3B"/>
    <w:rsid w:val="00FE07BD"/>
    <w:rsid w:val="00FE2C4B"/>
    <w:rsid w:val="00FF46F1"/>
    <w:rsid w:val="592C4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7623F"/>
  <w15:docId w15:val="{11ADA608-A59B-43A7-AECF-8B05F3E81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B1C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24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2431"/>
  </w:style>
  <w:style w:type="paragraph" w:styleId="Footer">
    <w:name w:val="footer"/>
    <w:basedOn w:val="Normal"/>
    <w:link w:val="FooterChar"/>
    <w:uiPriority w:val="99"/>
    <w:unhideWhenUsed/>
    <w:rsid w:val="004624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2431"/>
  </w:style>
  <w:style w:type="paragraph" w:styleId="BalloonText">
    <w:name w:val="Balloon Text"/>
    <w:basedOn w:val="Normal"/>
    <w:link w:val="BalloonTextChar"/>
    <w:uiPriority w:val="99"/>
    <w:semiHidden/>
    <w:unhideWhenUsed/>
    <w:rsid w:val="004624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431"/>
    <w:rPr>
      <w:rFonts w:ascii="Tahoma" w:hAnsi="Tahoma" w:cs="Tahoma"/>
      <w:sz w:val="16"/>
      <w:szCs w:val="16"/>
    </w:rPr>
  </w:style>
  <w:style w:type="paragraph" w:styleId="ListParagraph">
    <w:name w:val="List Paragraph"/>
    <w:basedOn w:val="Normal"/>
    <w:uiPriority w:val="34"/>
    <w:qFormat/>
    <w:rsid w:val="00A72022"/>
    <w:pPr>
      <w:ind w:left="720"/>
      <w:contextualSpacing/>
    </w:pPr>
    <w:rPr>
      <w:rFonts w:ascii="Calibri" w:eastAsia="Calibri" w:hAnsi="Calibri" w:cs="Times New Roman"/>
    </w:rPr>
  </w:style>
  <w:style w:type="paragraph" w:styleId="FootnoteText">
    <w:name w:val="footnote text"/>
    <w:basedOn w:val="Normal"/>
    <w:link w:val="FootnoteTextChar"/>
    <w:unhideWhenUsed/>
    <w:rsid w:val="003F2A49"/>
    <w:pPr>
      <w:spacing w:after="0" w:line="240" w:lineRule="auto"/>
    </w:pPr>
    <w:rPr>
      <w:sz w:val="20"/>
      <w:szCs w:val="20"/>
    </w:rPr>
  </w:style>
  <w:style w:type="character" w:customStyle="1" w:styleId="FootnoteTextChar">
    <w:name w:val="Footnote Text Char"/>
    <w:basedOn w:val="DefaultParagraphFont"/>
    <w:link w:val="FootnoteText"/>
    <w:rsid w:val="003F2A49"/>
    <w:rPr>
      <w:sz w:val="20"/>
      <w:szCs w:val="20"/>
    </w:rPr>
  </w:style>
  <w:style w:type="character" w:styleId="FootnoteReference">
    <w:name w:val="footnote reference"/>
    <w:basedOn w:val="DefaultParagraphFont"/>
    <w:unhideWhenUsed/>
    <w:rsid w:val="003F2A49"/>
    <w:rPr>
      <w:vertAlign w:val="superscript"/>
    </w:rPr>
  </w:style>
  <w:style w:type="character" w:styleId="Hyperlink">
    <w:name w:val="Hyperlink"/>
    <w:basedOn w:val="DefaultParagraphFont"/>
    <w:uiPriority w:val="99"/>
    <w:unhideWhenUsed/>
    <w:rsid w:val="003F2A49"/>
    <w:rPr>
      <w:color w:val="0000FF"/>
      <w:u w:val="single"/>
    </w:rPr>
  </w:style>
  <w:style w:type="character" w:styleId="CommentReference">
    <w:name w:val="annotation reference"/>
    <w:basedOn w:val="DefaultParagraphFont"/>
    <w:uiPriority w:val="99"/>
    <w:semiHidden/>
    <w:unhideWhenUsed/>
    <w:rsid w:val="003F6AA1"/>
    <w:rPr>
      <w:sz w:val="16"/>
      <w:szCs w:val="16"/>
    </w:rPr>
  </w:style>
  <w:style w:type="paragraph" w:styleId="CommentText">
    <w:name w:val="annotation text"/>
    <w:basedOn w:val="Normal"/>
    <w:link w:val="CommentTextChar"/>
    <w:uiPriority w:val="99"/>
    <w:unhideWhenUsed/>
    <w:rsid w:val="003F6AA1"/>
    <w:pPr>
      <w:spacing w:line="240" w:lineRule="auto"/>
    </w:pPr>
    <w:rPr>
      <w:sz w:val="20"/>
      <w:szCs w:val="20"/>
    </w:rPr>
  </w:style>
  <w:style w:type="character" w:customStyle="1" w:styleId="CommentTextChar">
    <w:name w:val="Comment Text Char"/>
    <w:basedOn w:val="DefaultParagraphFont"/>
    <w:link w:val="CommentText"/>
    <w:uiPriority w:val="99"/>
    <w:rsid w:val="003F6AA1"/>
    <w:rPr>
      <w:sz w:val="20"/>
      <w:szCs w:val="20"/>
    </w:rPr>
  </w:style>
  <w:style w:type="paragraph" w:styleId="CommentSubject">
    <w:name w:val="annotation subject"/>
    <w:basedOn w:val="CommentText"/>
    <w:next w:val="CommentText"/>
    <w:link w:val="CommentSubjectChar"/>
    <w:uiPriority w:val="99"/>
    <w:semiHidden/>
    <w:unhideWhenUsed/>
    <w:rsid w:val="003F6AA1"/>
    <w:rPr>
      <w:b/>
      <w:bCs/>
    </w:rPr>
  </w:style>
  <w:style w:type="character" w:customStyle="1" w:styleId="CommentSubjectChar">
    <w:name w:val="Comment Subject Char"/>
    <w:basedOn w:val="CommentTextChar"/>
    <w:link w:val="CommentSubject"/>
    <w:uiPriority w:val="99"/>
    <w:semiHidden/>
    <w:rsid w:val="003F6AA1"/>
    <w:rPr>
      <w:b/>
      <w:bCs/>
      <w:sz w:val="20"/>
      <w:szCs w:val="20"/>
    </w:rPr>
  </w:style>
  <w:style w:type="character" w:customStyle="1" w:styleId="Negative">
    <w:name w:val="_Negative"/>
    <w:basedOn w:val="DefaultParagraphFont"/>
    <w:rsid w:val="00292E3D"/>
    <w:rPr>
      <w:b/>
      <w:color w:val="FF0000"/>
      <w:u w:val="single"/>
    </w:rPr>
  </w:style>
  <w:style w:type="table" w:styleId="TableGrid">
    <w:name w:val="Table Grid"/>
    <w:basedOn w:val="TableNormal"/>
    <w:uiPriority w:val="59"/>
    <w:rsid w:val="00F23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850D3"/>
    <w:rPr>
      <w:color w:val="605E5C"/>
      <w:shd w:val="clear" w:color="auto" w:fill="E1DFDD"/>
    </w:rPr>
  </w:style>
  <w:style w:type="character" w:styleId="FollowedHyperlink">
    <w:name w:val="FollowedHyperlink"/>
    <w:basedOn w:val="DefaultParagraphFont"/>
    <w:uiPriority w:val="99"/>
    <w:semiHidden/>
    <w:unhideWhenUsed/>
    <w:rsid w:val="00441F71"/>
    <w:rPr>
      <w:color w:val="800080" w:themeColor="followedHyperlink"/>
      <w:u w:val="single"/>
    </w:rPr>
  </w:style>
  <w:style w:type="character" w:customStyle="1" w:styleId="UnresolvedMention2">
    <w:name w:val="Unresolved Mention2"/>
    <w:basedOn w:val="DefaultParagraphFont"/>
    <w:uiPriority w:val="99"/>
    <w:rsid w:val="000765E4"/>
    <w:rPr>
      <w:color w:val="605E5C"/>
      <w:shd w:val="clear" w:color="auto" w:fill="E1DFDD"/>
    </w:rPr>
  </w:style>
  <w:style w:type="paragraph" w:styleId="Revision">
    <w:name w:val="Revision"/>
    <w:hidden/>
    <w:uiPriority w:val="99"/>
    <w:semiHidden/>
    <w:rsid w:val="008E6770"/>
    <w:pPr>
      <w:spacing w:after="0" w:line="240" w:lineRule="auto"/>
    </w:pPr>
  </w:style>
  <w:style w:type="paragraph" w:styleId="BodyText">
    <w:name w:val="Body Text"/>
    <w:basedOn w:val="Normal"/>
    <w:link w:val="BodyTextChar"/>
    <w:uiPriority w:val="1"/>
    <w:qFormat/>
    <w:rsid w:val="001D2FF3"/>
    <w:pPr>
      <w:spacing w:after="0" w:line="240" w:lineRule="auto"/>
      <w:ind w:left="100"/>
      <w:jc w:val="both"/>
    </w:pPr>
    <w:rPr>
      <w:rFonts w:cs="Calibri"/>
    </w:rPr>
  </w:style>
  <w:style w:type="character" w:customStyle="1" w:styleId="BodyTextChar">
    <w:name w:val="Body Text Char"/>
    <w:basedOn w:val="DefaultParagraphFont"/>
    <w:link w:val="BodyText"/>
    <w:uiPriority w:val="1"/>
    <w:rsid w:val="001D2FF3"/>
    <w:rPr>
      <w:rFonts w:cs="Calibri"/>
    </w:rPr>
  </w:style>
  <w:style w:type="paragraph" w:customStyle="1" w:styleId="TableParagraph">
    <w:name w:val="Table Paragraph"/>
    <w:basedOn w:val="Normal"/>
    <w:uiPriority w:val="1"/>
    <w:qFormat/>
    <w:rsid w:val="00FA6695"/>
    <w:pPr>
      <w:spacing w:after="0" w:line="24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87702">
      <w:bodyDiv w:val="1"/>
      <w:marLeft w:val="0"/>
      <w:marRight w:val="0"/>
      <w:marTop w:val="0"/>
      <w:marBottom w:val="0"/>
      <w:divBdr>
        <w:top w:val="none" w:sz="0" w:space="0" w:color="auto"/>
        <w:left w:val="none" w:sz="0" w:space="0" w:color="auto"/>
        <w:bottom w:val="none" w:sz="0" w:space="0" w:color="auto"/>
        <w:right w:val="none" w:sz="0" w:space="0" w:color="auto"/>
      </w:divBdr>
    </w:div>
    <w:div w:id="237984587">
      <w:bodyDiv w:val="1"/>
      <w:marLeft w:val="0"/>
      <w:marRight w:val="0"/>
      <w:marTop w:val="0"/>
      <w:marBottom w:val="0"/>
      <w:divBdr>
        <w:top w:val="none" w:sz="0" w:space="0" w:color="auto"/>
        <w:left w:val="none" w:sz="0" w:space="0" w:color="auto"/>
        <w:bottom w:val="none" w:sz="0" w:space="0" w:color="auto"/>
        <w:right w:val="none" w:sz="0" w:space="0" w:color="auto"/>
      </w:divBdr>
    </w:div>
    <w:div w:id="351029959">
      <w:bodyDiv w:val="1"/>
      <w:marLeft w:val="0"/>
      <w:marRight w:val="0"/>
      <w:marTop w:val="0"/>
      <w:marBottom w:val="0"/>
      <w:divBdr>
        <w:top w:val="none" w:sz="0" w:space="0" w:color="auto"/>
        <w:left w:val="none" w:sz="0" w:space="0" w:color="auto"/>
        <w:bottom w:val="none" w:sz="0" w:space="0" w:color="auto"/>
        <w:right w:val="none" w:sz="0" w:space="0" w:color="auto"/>
      </w:divBdr>
    </w:div>
    <w:div w:id="373651329">
      <w:bodyDiv w:val="1"/>
      <w:marLeft w:val="0"/>
      <w:marRight w:val="0"/>
      <w:marTop w:val="0"/>
      <w:marBottom w:val="0"/>
      <w:divBdr>
        <w:top w:val="none" w:sz="0" w:space="0" w:color="auto"/>
        <w:left w:val="none" w:sz="0" w:space="0" w:color="auto"/>
        <w:bottom w:val="none" w:sz="0" w:space="0" w:color="auto"/>
        <w:right w:val="none" w:sz="0" w:space="0" w:color="auto"/>
      </w:divBdr>
    </w:div>
    <w:div w:id="447552120">
      <w:bodyDiv w:val="1"/>
      <w:marLeft w:val="0"/>
      <w:marRight w:val="0"/>
      <w:marTop w:val="0"/>
      <w:marBottom w:val="0"/>
      <w:divBdr>
        <w:top w:val="none" w:sz="0" w:space="0" w:color="auto"/>
        <w:left w:val="none" w:sz="0" w:space="0" w:color="auto"/>
        <w:bottom w:val="none" w:sz="0" w:space="0" w:color="auto"/>
        <w:right w:val="none" w:sz="0" w:space="0" w:color="auto"/>
      </w:divBdr>
    </w:div>
    <w:div w:id="544872978">
      <w:bodyDiv w:val="1"/>
      <w:marLeft w:val="0"/>
      <w:marRight w:val="0"/>
      <w:marTop w:val="0"/>
      <w:marBottom w:val="0"/>
      <w:divBdr>
        <w:top w:val="none" w:sz="0" w:space="0" w:color="auto"/>
        <w:left w:val="none" w:sz="0" w:space="0" w:color="auto"/>
        <w:bottom w:val="none" w:sz="0" w:space="0" w:color="auto"/>
        <w:right w:val="none" w:sz="0" w:space="0" w:color="auto"/>
      </w:divBdr>
    </w:div>
    <w:div w:id="1533226974">
      <w:bodyDiv w:val="1"/>
      <w:marLeft w:val="0"/>
      <w:marRight w:val="0"/>
      <w:marTop w:val="0"/>
      <w:marBottom w:val="0"/>
      <w:divBdr>
        <w:top w:val="none" w:sz="0" w:space="0" w:color="auto"/>
        <w:left w:val="none" w:sz="0" w:space="0" w:color="auto"/>
        <w:bottom w:val="none" w:sz="0" w:space="0" w:color="auto"/>
        <w:right w:val="none" w:sz="0" w:space="0" w:color="auto"/>
      </w:divBdr>
    </w:div>
    <w:div w:id="1629749338">
      <w:bodyDiv w:val="1"/>
      <w:marLeft w:val="0"/>
      <w:marRight w:val="0"/>
      <w:marTop w:val="0"/>
      <w:marBottom w:val="0"/>
      <w:divBdr>
        <w:top w:val="none" w:sz="0" w:space="0" w:color="auto"/>
        <w:left w:val="none" w:sz="0" w:space="0" w:color="auto"/>
        <w:bottom w:val="none" w:sz="0" w:space="0" w:color="auto"/>
        <w:right w:val="none" w:sz="0" w:space="0" w:color="auto"/>
      </w:divBdr>
    </w:div>
    <w:div w:id="1789469776">
      <w:bodyDiv w:val="1"/>
      <w:marLeft w:val="0"/>
      <w:marRight w:val="0"/>
      <w:marTop w:val="0"/>
      <w:marBottom w:val="0"/>
      <w:divBdr>
        <w:top w:val="none" w:sz="0" w:space="0" w:color="auto"/>
        <w:left w:val="none" w:sz="0" w:space="0" w:color="auto"/>
        <w:bottom w:val="none" w:sz="0" w:space="0" w:color="auto"/>
        <w:right w:val="none" w:sz="0" w:space="0" w:color="auto"/>
      </w:divBdr>
    </w:div>
    <w:div w:id="1892106361">
      <w:bodyDiv w:val="1"/>
      <w:marLeft w:val="0"/>
      <w:marRight w:val="0"/>
      <w:marTop w:val="0"/>
      <w:marBottom w:val="0"/>
      <w:divBdr>
        <w:top w:val="none" w:sz="0" w:space="0" w:color="auto"/>
        <w:left w:val="none" w:sz="0" w:space="0" w:color="auto"/>
        <w:bottom w:val="none" w:sz="0" w:space="0" w:color="auto"/>
        <w:right w:val="none" w:sz="0" w:space="0" w:color="auto"/>
      </w:divBdr>
    </w:div>
    <w:div w:id="1994792199">
      <w:bodyDiv w:val="1"/>
      <w:marLeft w:val="0"/>
      <w:marRight w:val="0"/>
      <w:marTop w:val="0"/>
      <w:marBottom w:val="0"/>
      <w:divBdr>
        <w:top w:val="none" w:sz="0" w:space="0" w:color="auto"/>
        <w:left w:val="none" w:sz="0" w:space="0" w:color="auto"/>
        <w:bottom w:val="none" w:sz="0" w:space="0" w:color="auto"/>
        <w:right w:val="none" w:sz="0" w:space="0" w:color="auto"/>
      </w:divBdr>
    </w:div>
    <w:div w:id="213794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fdb4e09-d15f-4d30-a948-a1acbeaedde1" xsi:nil="true"/>
    <lcf76f155ced4ddcb4097134ff3c332f xmlns="bc2cef96-7838-491e-8937-7f29dba2d95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49649401870484CBFF1496E4EEA2E0F" ma:contentTypeVersion="24" ma:contentTypeDescription="Create a new document." ma:contentTypeScope="" ma:versionID="5a994d654aa9ff9df5ff9077b65a47ec">
  <xsd:schema xmlns:xsd="http://www.w3.org/2001/XMLSchema" xmlns:xs="http://www.w3.org/2001/XMLSchema" xmlns:p="http://schemas.microsoft.com/office/2006/metadata/properties" xmlns:ns2="efdb4e09-d15f-4d30-a948-a1acbeaedde1" xmlns:ns3="bc2cef96-7838-491e-8937-7f29dba2d956" targetNamespace="http://schemas.microsoft.com/office/2006/metadata/properties" ma:root="true" ma:fieldsID="e075e5705b1b3fe4b6a67d1cc4ae5525" ns2:_="" ns3:_="">
    <xsd:import namespace="efdb4e09-d15f-4d30-a948-a1acbeaedde1"/>
    <xsd:import namespace="bc2cef96-7838-491e-8937-7f29dba2d95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SearchPropertie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db4e09-d15f-4d30-a948-a1acbeaedd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b9693c5-2dbb-4304-9694-a39ccae6aa9f}" ma:internalName="TaxCatchAll" ma:readOnly="false" ma:showField="CatchAllData" ma:web="efdb4e09-d15f-4d30-a948-a1acbeaedde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c2cef96-7838-491e-8937-7f29dba2d95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8ec508c-93e8-4426-890c-f97fed27bd7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EE9DBA-19D2-41B6-9B33-429BA62A737A}">
  <ds:schemaRefs>
    <ds:schemaRef ds:uri="http://schemas.microsoft.com/office/2006/metadata/properties"/>
    <ds:schemaRef ds:uri="http://schemas.microsoft.com/office/infopath/2007/PartnerControls"/>
    <ds:schemaRef ds:uri="efdb4e09-d15f-4d30-a948-a1acbeaedde1"/>
    <ds:schemaRef ds:uri="bc2cef96-7838-491e-8937-7f29dba2d956"/>
  </ds:schemaRefs>
</ds:datastoreItem>
</file>

<file path=customXml/itemProps2.xml><?xml version="1.0" encoding="utf-8"?>
<ds:datastoreItem xmlns:ds="http://schemas.openxmlformats.org/officeDocument/2006/customXml" ds:itemID="{2356A290-95EE-4081-AE3A-AFA343D09256}">
  <ds:schemaRefs>
    <ds:schemaRef ds:uri="http://schemas.microsoft.com/sharepoint/v3/contenttype/forms"/>
  </ds:schemaRefs>
</ds:datastoreItem>
</file>

<file path=customXml/itemProps3.xml><?xml version="1.0" encoding="utf-8"?>
<ds:datastoreItem xmlns:ds="http://schemas.openxmlformats.org/officeDocument/2006/customXml" ds:itemID="{26E879DE-2784-4BA4-A3E1-A83C680D7354}">
  <ds:schemaRefs>
    <ds:schemaRef ds:uri="http://schemas.openxmlformats.org/officeDocument/2006/bibliography"/>
  </ds:schemaRefs>
</ds:datastoreItem>
</file>

<file path=customXml/itemProps4.xml><?xml version="1.0" encoding="utf-8"?>
<ds:datastoreItem xmlns:ds="http://schemas.openxmlformats.org/officeDocument/2006/customXml" ds:itemID="{090F56C8-23E7-43B2-AE4F-ED9DC5822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db4e09-d15f-4d30-a948-a1acbeaedde1"/>
    <ds:schemaRef ds:uri="bc2cef96-7838-491e-8937-7f29dba2d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2121</Words>
  <Characters>11374</Characters>
  <Application>Microsoft Office Word</Application>
  <DocSecurity>0</DocSecurity>
  <Lines>196</Lines>
  <Paragraphs>67</Paragraphs>
  <ScaleCrop>false</ScaleCrop>
  <Company/>
  <LinksUpToDate>false</LinksUpToDate>
  <CharactersWithSpaces>13428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Harding</dc:creator>
  <cp:lastModifiedBy>Justin Elmes</cp:lastModifiedBy>
  <cp:revision>14</cp:revision>
  <dcterms:created xsi:type="dcterms:W3CDTF">2025-12-08T10:37:00Z</dcterms:created>
  <dcterms:modified xsi:type="dcterms:W3CDTF">2026-04-27T15:17:00Z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0x010100949649401870484CBFF1496E4EEA2E0F</vt:lpwstr>
  </property>
  <property fmtid="{D5CDD505-2E9C-101B-9397-08002B2CF9AE}" pid="3" name="MSIP_Label_39fb4c17-1db7-4383-83b2-9c2a31894cda_Enabled">
    <vt:lpwstr>true</vt:lpwstr>
  </property>
  <property fmtid="{D5CDD505-2E9C-101B-9397-08002B2CF9AE}" pid="4" name="MSIP_Label_39fb4c17-1db7-4383-83b2-9c2a31894cda_SetDate">
    <vt:lpwstr>2024-11-11T11:14:21Z</vt:lpwstr>
  </property>
  <property fmtid="{D5CDD505-2E9C-101B-9397-08002B2CF9AE}" pid="5" name="MSIP_Label_39fb4c17-1db7-4383-83b2-9c2a31894cda_Method">
    <vt:lpwstr>Privileged</vt:lpwstr>
  </property>
  <property fmtid="{D5CDD505-2E9C-101B-9397-08002B2CF9AE}" pid="6" name="MSIP_Label_39fb4c17-1db7-4383-83b2-9c2a31894cda_Name">
    <vt:lpwstr>Personal Data (GDPR) – Restricted</vt:lpwstr>
  </property>
  <property fmtid="{D5CDD505-2E9C-101B-9397-08002B2CF9AE}" pid="7" name="MSIP_Label_39fb4c17-1db7-4383-83b2-9c2a31894cda_SiteId">
    <vt:lpwstr>e8c9b110-228d-444f-aec6-8adb9648caa9</vt:lpwstr>
  </property>
  <property fmtid="{D5CDD505-2E9C-101B-9397-08002B2CF9AE}" pid="8" name="MSIP_Label_39fb4c17-1db7-4383-83b2-9c2a31894cda_ActionId">
    <vt:lpwstr>b54852ca-b57c-4705-9424-810a0cedd2e5</vt:lpwstr>
  </property>
  <property fmtid="{D5CDD505-2E9C-101B-9397-08002B2CF9AE}" pid="9" name="MSIP_Label_39fb4c17-1db7-4383-83b2-9c2a31894cda_ContentBits">
    <vt:lpwstr>0</vt:lpwstr>
  </property>
  <property fmtid="{D5CDD505-2E9C-101B-9397-08002B2CF9AE}" pid="10" name="docLang">
    <vt:lpwstr>en</vt:lpwstr>
  </property>
  <property fmtid="{D5CDD505-2E9C-101B-9397-08002B2CF9AE}" pid="11" name="MediaServiceImageTags">
    <vt:lpwstr/>
  </property>
</Properties>
</file>