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099F" w14:textId="77777777" w:rsidR="00D136A7" w:rsidRPr="00A704BB" w:rsidRDefault="00D136A7" w:rsidP="00A704BB">
      <w:pPr>
        <w:pStyle w:val="Header"/>
        <w:rPr>
          <w:rFonts w:ascii="Arial" w:hAnsi="Arial" w:cs="Arial"/>
          <w:color w:val="A6A6A6" w:themeColor="background1" w:themeShade="A6"/>
          <w:sz w:val="20"/>
          <w:szCs w:val="20"/>
        </w:rPr>
      </w:pPr>
      <w:r w:rsidRPr="00A704BB">
        <w:rPr>
          <w:rFonts w:ascii="Arial" w:hAnsi="Arial" w:cs="Arial"/>
          <w:b/>
          <w:color w:val="A6A6A6" w:themeColor="background1" w:themeShade="A6"/>
          <w:sz w:val="20"/>
          <w:szCs w:val="20"/>
        </w:rPr>
        <w:t>***NOT TO BE DISTRIBUTED - For use by Financial Adviser only***</w:t>
      </w:r>
    </w:p>
    <w:p w14:paraId="7AE80907" w14:textId="77777777" w:rsidR="00D136A7" w:rsidRPr="00A704BB" w:rsidRDefault="00D136A7" w:rsidP="00D85638">
      <w:pPr>
        <w:jc w:val="center"/>
        <w:rPr>
          <w:rFonts w:ascii="Arial" w:hAnsi="Arial" w:cs="Arial"/>
          <w:b/>
          <w:u w:val="single"/>
        </w:rPr>
      </w:pPr>
    </w:p>
    <w:p w14:paraId="5AE8F758" w14:textId="46DC291D" w:rsidR="000765E4" w:rsidRDefault="001265BE" w:rsidP="004B1C4F">
      <w:pPr>
        <w:spacing w:after="120" w:line="240" w:lineRule="auto"/>
        <w:rPr>
          <w:rFonts w:ascii="Arial" w:eastAsia="Arial" w:hAnsi="Arial" w:cs="Arial"/>
          <w:b/>
          <w:color w:val="1B202A"/>
          <w:sz w:val="36"/>
          <w:szCs w:val="36"/>
          <w:lang w:val="en-US"/>
        </w:rPr>
      </w:pPr>
      <w:r w:rsidRPr="00A704BB">
        <w:rPr>
          <w:rFonts w:ascii="Arial" w:eastAsia="Arial" w:hAnsi="Arial" w:cs="Arial"/>
          <w:b/>
          <w:color w:val="1B202A"/>
          <w:sz w:val="36"/>
          <w:szCs w:val="36"/>
          <w:lang w:val="en-US"/>
        </w:rPr>
        <w:t>Template Information</w:t>
      </w:r>
      <w:r w:rsidR="00FF46F1" w:rsidRPr="00A704BB">
        <w:rPr>
          <w:rFonts w:ascii="Arial" w:eastAsia="Arial" w:hAnsi="Arial" w:cs="Arial"/>
          <w:b/>
          <w:color w:val="1B202A"/>
          <w:sz w:val="36"/>
          <w:szCs w:val="36"/>
          <w:lang w:val="en-US"/>
        </w:rPr>
        <w:t xml:space="preserve"> Letter</w:t>
      </w:r>
    </w:p>
    <w:p w14:paraId="09D9051E" w14:textId="31DBAAD3" w:rsidR="004B1C4F" w:rsidRPr="004B1C4F" w:rsidRDefault="004B1C4F" w:rsidP="004B1C4F">
      <w:pPr>
        <w:spacing w:after="0"/>
        <w:rPr>
          <w:rFonts w:ascii="Arial" w:hAnsi="Arial" w:cs="Arial"/>
          <w:i/>
          <w:sz w:val="12"/>
          <w:szCs w:val="12"/>
        </w:rPr>
      </w:pPr>
      <w:r w:rsidRPr="004B1C4F">
        <w:rPr>
          <w:rFonts w:ascii="Arial" w:eastAsia="Arial" w:hAnsi="Arial" w:cs="Arial"/>
          <w:b/>
          <w:color w:val="1B202A"/>
          <w:sz w:val="24"/>
          <w:szCs w:val="24"/>
          <w:lang w:val="en-US"/>
        </w:rPr>
        <w:t>Puma AIM Inheritance Tax Service</w:t>
      </w:r>
    </w:p>
    <w:p w14:paraId="1E4E0D3A" w14:textId="035081F5" w:rsidR="00293AA5" w:rsidRDefault="004B1C4F" w:rsidP="002C302A">
      <w:pPr>
        <w:spacing w:after="0"/>
        <w:rPr>
          <w:rFonts w:ascii="Arial" w:hAnsi="Arial" w:cs="Arial"/>
          <w:i/>
          <w:sz w:val="18"/>
          <w:szCs w:val="18"/>
        </w:rPr>
      </w:pPr>
      <w:r w:rsidRPr="004B1C4F">
        <w:rPr>
          <w:rFonts w:ascii="Arial" w:eastAsia="Arial" w:hAnsi="Arial" w:cs="Arial"/>
          <w:b/>
          <w:noProof/>
          <w:color w:val="1B202A"/>
          <w:sz w:val="36"/>
          <w:szCs w:val="36"/>
          <w:lang w:val="en-US"/>
        </w:rPr>
        <mc:AlternateContent>
          <mc:Choice Requires="wps">
            <w:drawing>
              <wp:anchor distT="0" distB="0" distL="114300" distR="114300" simplePos="0" relativeHeight="251658240" behindDoc="0" locked="0" layoutInCell="1" allowOverlap="1" wp14:anchorId="48506CCB" wp14:editId="1B10020D">
                <wp:simplePos x="0" y="0"/>
                <wp:positionH relativeFrom="margin">
                  <wp:posOffset>6985</wp:posOffset>
                </wp:positionH>
                <wp:positionV relativeFrom="page">
                  <wp:posOffset>2860675</wp:posOffset>
                </wp:positionV>
                <wp:extent cx="5724525"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065">
                          <a:solidFill>
                            <a:srgbClr val="0022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48FCC" id="Line 2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5pt,225.25pt" to="451.3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" strokecolor="#024" strokeweight=".95pt">
                <w10:wrap anchorx="margin" anchory="page"/>
              </v:line>
            </w:pict>
          </mc:Fallback>
        </mc:AlternateContent>
      </w:r>
    </w:p>
    <w:p w14:paraId="2339E12F" w14:textId="77777777" w:rsidR="00293AA5" w:rsidRDefault="00293AA5" w:rsidP="002C302A">
      <w:pPr>
        <w:spacing w:after="0"/>
        <w:rPr>
          <w:rFonts w:ascii="Arial" w:hAnsi="Arial" w:cs="Arial"/>
          <w:i/>
          <w:sz w:val="18"/>
          <w:szCs w:val="18"/>
        </w:rPr>
      </w:pPr>
    </w:p>
    <w:p w14:paraId="5EC741FA" w14:textId="77777777" w:rsidR="009A46F2" w:rsidRDefault="009A46F2" w:rsidP="0089502F">
      <w:pPr>
        <w:spacing w:after="0"/>
        <w:rPr>
          <w:rFonts w:ascii="Arial" w:hAnsi="Arial" w:cs="Arial"/>
          <w:i/>
          <w:sz w:val="18"/>
          <w:szCs w:val="18"/>
        </w:rPr>
      </w:pPr>
    </w:p>
    <w:p w14:paraId="38E4492A" w14:textId="568C4887" w:rsidR="0089502F" w:rsidRPr="004B1C4F" w:rsidRDefault="0089502F" w:rsidP="0089502F">
      <w:pPr>
        <w:spacing w:after="0"/>
        <w:rPr>
          <w:rFonts w:ascii="Arial" w:hAnsi="Arial" w:cs="Arial"/>
          <w:i/>
          <w:sz w:val="18"/>
          <w:szCs w:val="18"/>
        </w:rPr>
      </w:pPr>
      <w:r w:rsidRPr="004B1C4F">
        <w:rPr>
          <w:rFonts w:ascii="Arial" w:hAnsi="Arial" w:cs="Arial"/>
          <w:i/>
          <w:sz w:val="18"/>
          <w:szCs w:val="18"/>
        </w:rPr>
        <w:t xml:space="preserve">The factual information set out below does not constitute a suitability report or a personal recommendation by Puma Investments (the “Investment Manager”) to you or your underlying clients to subscribe to Puma AIM Inheritance Tax Service (the “Service”) and should not be treated as such.  The information is provided to assist you in determining whether the Service is suitable for your clients. We have set out some of the key features of the Service which should be read in conjunction with the Investment Details, the Investor Agreement and the Intermediary Agreement for the Service.  You must ensure you are satisfied that any investment by you and/or your underlying clients into the Service complies with the FCA’s rules and your own Compliance Department Guidelines.  You should refer to the Investment Details and Investor Agreement as the basis for an investment in the Service.  Please see the disclaimer at the end of this document. </w:t>
      </w:r>
    </w:p>
    <w:p w14:paraId="28D79A37" w14:textId="44554ACD" w:rsidR="0089502F" w:rsidRPr="004B1C4F" w:rsidRDefault="0089502F" w:rsidP="0089502F">
      <w:pPr>
        <w:autoSpaceDE w:val="0"/>
        <w:autoSpaceDN w:val="0"/>
        <w:adjustRightInd w:val="0"/>
        <w:spacing w:after="0" w:line="240" w:lineRule="auto"/>
        <w:rPr>
          <w:rFonts w:ascii="Arial" w:hAnsi="Arial" w:cs="Arial"/>
          <w:sz w:val="18"/>
          <w:szCs w:val="18"/>
        </w:rPr>
      </w:pPr>
    </w:p>
    <w:p w14:paraId="535F4D6D" w14:textId="17238074" w:rsidR="001C6EF5" w:rsidRDefault="009A46F2" w:rsidP="0089502F">
      <w:pPr>
        <w:spacing w:after="0"/>
        <w:rPr>
          <w:rFonts w:ascii="Arial" w:hAnsi="Arial" w:cs="Arial"/>
          <w:sz w:val="18"/>
          <w:szCs w:val="18"/>
        </w:rPr>
      </w:pPr>
      <w:r w:rsidRPr="004B1C4F">
        <w:rPr>
          <w:rFonts w:ascii="Arial" w:eastAsia="Arial" w:hAnsi="Arial" w:cs="Arial"/>
          <w:b/>
          <w:noProof/>
          <w:color w:val="1B202A"/>
          <w:sz w:val="36"/>
          <w:szCs w:val="36"/>
          <w:lang w:val="en-US"/>
        </w:rPr>
        <mc:AlternateContent>
          <mc:Choice Requires="wps">
            <w:drawing>
              <wp:anchor distT="0" distB="0" distL="114300" distR="114300" simplePos="0" relativeHeight="251660288" behindDoc="0" locked="0" layoutInCell="1" allowOverlap="1" wp14:anchorId="14455363" wp14:editId="01AFB9EA">
                <wp:simplePos x="0" y="0"/>
                <wp:positionH relativeFrom="margin">
                  <wp:posOffset>6350</wp:posOffset>
                </wp:positionH>
                <wp:positionV relativeFrom="page">
                  <wp:posOffset>4711700</wp:posOffset>
                </wp:positionV>
                <wp:extent cx="572452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065">
                          <a:solidFill>
                            <a:srgbClr val="0022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85CF" id="Line 2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71pt" to="451.2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" strokecolor="#024" strokeweight=".95pt">
                <w10:wrap anchorx="margin" anchory="page"/>
              </v:line>
            </w:pict>
          </mc:Fallback>
        </mc:AlternateContent>
      </w:r>
    </w:p>
    <w:p w14:paraId="798854E2" w14:textId="77777777" w:rsidR="009A46F2" w:rsidRDefault="009A46F2" w:rsidP="0089502F">
      <w:pPr>
        <w:spacing w:after="0"/>
        <w:rPr>
          <w:rFonts w:ascii="Arial" w:hAnsi="Arial" w:cs="Arial"/>
          <w:sz w:val="18"/>
          <w:szCs w:val="18"/>
        </w:rPr>
      </w:pPr>
    </w:p>
    <w:p w14:paraId="61D89C30" w14:textId="77777777" w:rsidR="00702DDA" w:rsidRDefault="00702DDA" w:rsidP="0089502F">
      <w:pPr>
        <w:spacing w:after="0"/>
        <w:rPr>
          <w:rFonts w:ascii="Arial" w:hAnsi="Arial" w:cs="Arial"/>
          <w:b/>
          <w:bCs/>
          <w:sz w:val="18"/>
          <w:szCs w:val="18"/>
        </w:rPr>
      </w:pPr>
    </w:p>
    <w:p w14:paraId="525EDE3D" w14:textId="48B1A375" w:rsidR="00702DDA" w:rsidRPr="00702DDA" w:rsidRDefault="00702DDA" w:rsidP="0089502F">
      <w:pPr>
        <w:spacing w:after="0"/>
        <w:rPr>
          <w:rFonts w:ascii="Arial" w:hAnsi="Arial" w:cs="Arial"/>
          <w:b/>
          <w:bCs/>
          <w:sz w:val="18"/>
          <w:szCs w:val="18"/>
        </w:rPr>
      </w:pPr>
      <w:r w:rsidRPr="00702DDA">
        <w:rPr>
          <w:rFonts w:ascii="Arial" w:hAnsi="Arial" w:cs="Arial"/>
          <w:b/>
          <w:bCs/>
          <w:sz w:val="18"/>
          <w:szCs w:val="18"/>
        </w:rPr>
        <w:t>What is Puma AIM Inheritance Tax Service</w:t>
      </w:r>
    </w:p>
    <w:p w14:paraId="0FB5B371" w14:textId="77777777" w:rsidR="00702DDA" w:rsidRDefault="00702DDA" w:rsidP="0089502F">
      <w:pPr>
        <w:spacing w:after="0"/>
        <w:rPr>
          <w:rFonts w:ascii="Arial" w:hAnsi="Arial" w:cs="Arial"/>
          <w:sz w:val="18"/>
          <w:szCs w:val="18"/>
        </w:rPr>
      </w:pPr>
    </w:p>
    <w:p w14:paraId="7243EE2B" w14:textId="1C80AE91" w:rsidR="0089502F" w:rsidRPr="004B1C4F" w:rsidRDefault="0089502F" w:rsidP="0089502F">
      <w:pPr>
        <w:spacing w:after="0"/>
        <w:rPr>
          <w:rFonts w:ascii="Arial" w:hAnsi="Arial" w:cs="Arial"/>
          <w:sz w:val="18"/>
          <w:szCs w:val="18"/>
        </w:rPr>
      </w:pPr>
      <w:r w:rsidRPr="004B1C4F">
        <w:rPr>
          <w:rFonts w:ascii="Arial" w:hAnsi="Arial" w:cs="Arial"/>
          <w:sz w:val="18"/>
          <w:szCs w:val="18"/>
        </w:rPr>
        <w:t>Puma AIM Inheritance Tax Service (the Service) is an award-winning discretionary portfolio service that seeks to deliver long-term growth whilst mitigating Inheritance Tax</w:t>
      </w:r>
      <w:r w:rsidRPr="004B1C4F">
        <w:rPr>
          <w:rStyle w:val="FootnoteReference"/>
          <w:rFonts w:ascii="Arial" w:hAnsi="Arial" w:cs="Arial"/>
          <w:sz w:val="18"/>
          <w:szCs w:val="18"/>
        </w:rPr>
        <w:footnoteReference w:id="2"/>
      </w:r>
      <w:r w:rsidRPr="004B1C4F">
        <w:rPr>
          <w:rFonts w:ascii="Arial" w:hAnsi="Arial" w:cs="Arial"/>
          <w:sz w:val="18"/>
          <w:szCs w:val="18"/>
        </w:rPr>
        <w:t>. Since inception in July 2014 the portfolio has increased by +77.41% this is a +74.37% outperformance of the FTSE AIM All Share Index (+3.04%)</w:t>
      </w:r>
      <w:r w:rsidRPr="004B1C4F">
        <w:rPr>
          <w:rStyle w:val="FootnoteReference"/>
          <w:rFonts w:ascii="Arial" w:hAnsi="Arial" w:cs="Arial"/>
          <w:sz w:val="18"/>
          <w:szCs w:val="18"/>
        </w:rPr>
        <w:footnoteReference w:id="3"/>
      </w:r>
      <w:r w:rsidRPr="004B1C4F">
        <w:rPr>
          <w:rFonts w:ascii="Arial" w:hAnsi="Arial" w:cs="Arial"/>
          <w:sz w:val="18"/>
          <w:szCs w:val="18"/>
        </w:rPr>
        <w:t>.</w:t>
      </w:r>
    </w:p>
    <w:p w14:paraId="3314DEAF" w14:textId="77777777" w:rsidR="0089502F" w:rsidRPr="004B1C4F" w:rsidRDefault="0089502F" w:rsidP="0089502F">
      <w:pPr>
        <w:spacing w:after="0"/>
        <w:rPr>
          <w:rFonts w:ascii="Arial" w:hAnsi="Arial" w:cs="Arial"/>
          <w:sz w:val="18"/>
          <w:szCs w:val="18"/>
        </w:rPr>
      </w:pPr>
    </w:p>
    <w:p w14:paraId="42AFAB2D" w14:textId="77777777" w:rsidR="0089502F" w:rsidRPr="004B1C4F" w:rsidRDefault="0089502F" w:rsidP="0089502F">
      <w:pPr>
        <w:spacing w:after="0"/>
        <w:rPr>
          <w:rFonts w:ascii="Arial" w:hAnsi="Arial" w:cs="Arial"/>
          <w:sz w:val="18"/>
          <w:szCs w:val="18"/>
        </w:rPr>
      </w:pPr>
      <w:r w:rsidRPr="004B1C4F">
        <w:rPr>
          <w:rFonts w:ascii="Arial" w:hAnsi="Arial" w:cs="Arial"/>
          <w:sz w:val="18"/>
          <w:szCs w:val="18"/>
        </w:rPr>
        <w:t xml:space="preserve">The Service aims to mitigate Inheritance Tax by investing in a carefully selected portfolio of Alternative Investment Market (AIM) shares, which qualify for Business Relief (BR) which takes effect after just two years from the acquisition of qualifying AIM stocks. </w:t>
      </w:r>
    </w:p>
    <w:p w14:paraId="6846C1C0" w14:textId="77777777" w:rsidR="0089502F" w:rsidRPr="004B1C4F" w:rsidRDefault="0089502F" w:rsidP="0089502F">
      <w:pPr>
        <w:autoSpaceDE w:val="0"/>
        <w:autoSpaceDN w:val="0"/>
        <w:adjustRightInd w:val="0"/>
        <w:spacing w:after="0" w:line="240" w:lineRule="auto"/>
        <w:rPr>
          <w:rFonts w:ascii="Arial" w:hAnsi="Arial" w:cs="Arial"/>
          <w:sz w:val="18"/>
          <w:szCs w:val="18"/>
        </w:rPr>
      </w:pPr>
    </w:p>
    <w:p w14:paraId="7D83CBDF" w14:textId="77777777" w:rsidR="0089502F" w:rsidRPr="004B1C4F" w:rsidRDefault="0089502F" w:rsidP="0089502F">
      <w:pPr>
        <w:autoSpaceDE w:val="0"/>
        <w:autoSpaceDN w:val="0"/>
        <w:adjustRightInd w:val="0"/>
        <w:spacing w:after="0" w:line="240" w:lineRule="auto"/>
        <w:rPr>
          <w:rFonts w:ascii="Arial" w:hAnsi="Arial" w:cs="Arial"/>
          <w:color w:val="000000" w:themeColor="text1"/>
          <w:sz w:val="18"/>
          <w:szCs w:val="18"/>
        </w:rPr>
      </w:pPr>
      <w:r w:rsidRPr="004B1C4F">
        <w:rPr>
          <w:rFonts w:ascii="Arial" w:hAnsi="Arial" w:cs="Arial"/>
          <w:color w:val="000000" w:themeColor="text1"/>
          <w:sz w:val="18"/>
          <w:szCs w:val="18"/>
        </w:rPr>
        <w:t>The Service is also available in an ISA, via the Puma AIM ISA Inheritance Tax Service, where the investment has the potential to benefit from Inheritance Tax relief as well as the Income Tax and Capital Gains Tax relief that an ISA already usually provides. An investment in BR-qualifying AIM stocks allows investors to mitigate Inheritance Tax while retaining the tax benefits of an ISA.</w:t>
      </w:r>
    </w:p>
    <w:p w14:paraId="44312425" w14:textId="77777777" w:rsidR="0089502F" w:rsidRPr="004B1C4F" w:rsidRDefault="0089502F" w:rsidP="0089502F">
      <w:pPr>
        <w:spacing w:after="0"/>
        <w:rPr>
          <w:rFonts w:ascii="Arial" w:hAnsi="Arial" w:cs="Arial"/>
          <w:color w:val="000000" w:themeColor="text1"/>
          <w:sz w:val="18"/>
          <w:szCs w:val="18"/>
        </w:rPr>
      </w:pPr>
    </w:p>
    <w:p w14:paraId="2C447C47" w14:textId="77777777" w:rsidR="0089502F" w:rsidRPr="004B1C4F" w:rsidRDefault="0089502F" w:rsidP="0089502F">
      <w:pPr>
        <w:spacing w:after="0"/>
        <w:rPr>
          <w:rFonts w:ascii="Arial" w:hAnsi="Arial" w:cs="Arial"/>
          <w:color w:val="000000" w:themeColor="text1"/>
          <w:sz w:val="18"/>
          <w:szCs w:val="18"/>
        </w:rPr>
      </w:pPr>
      <w:r w:rsidRPr="004B1C4F">
        <w:rPr>
          <w:rFonts w:ascii="Arial" w:hAnsi="Arial" w:cs="Arial"/>
          <w:color w:val="000000" w:themeColor="text1"/>
          <w:sz w:val="18"/>
          <w:szCs w:val="18"/>
        </w:rPr>
        <w:t>The opportunity to invest in the Service is offered to investors seeking Inheritance Tax mitigation through the use of BR and may be suitable for those who meet one or more of the following criteria:</w:t>
      </w:r>
    </w:p>
    <w:p w14:paraId="5A608BA7" w14:textId="77777777" w:rsidR="0089502F" w:rsidRPr="004B1C4F" w:rsidRDefault="0089502F" w:rsidP="0089502F">
      <w:pPr>
        <w:spacing w:after="0"/>
        <w:rPr>
          <w:rFonts w:ascii="Arial" w:hAnsi="Arial" w:cs="Arial"/>
          <w:color w:val="000000" w:themeColor="text1"/>
          <w:sz w:val="18"/>
          <w:szCs w:val="18"/>
        </w:rPr>
      </w:pPr>
    </w:p>
    <w:p w14:paraId="44DA7A08" w14:textId="77777777" w:rsidR="0089502F" w:rsidRPr="004B1C4F" w:rsidRDefault="0089502F" w:rsidP="009A46F2">
      <w:pPr>
        <w:pStyle w:val="ListParagraph"/>
        <w:numPr>
          <w:ilvl w:val="0"/>
          <w:numId w:val="5"/>
        </w:numPr>
        <w:spacing w:after="0"/>
        <w:ind w:left="851" w:hanging="284"/>
        <w:rPr>
          <w:rFonts w:ascii="Arial" w:hAnsi="Arial" w:cs="Arial"/>
          <w:color w:val="000000" w:themeColor="text1"/>
          <w:sz w:val="18"/>
          <w:szCs w:val="18"/>
        </w:rPr>
      </w:pPr>
      <w:r w:rsidRPr="004B1C4F">
        <w:rPr>
          <w:rFonts w:ascii="Arial" w:hAnsi="Arial" w:cs="Arial"/>
          <w:color w:val="000000" w:themeColor="text1"/>
          <w:sz w:val="18"/>
          <w:szCs w:val="18"/>
        </w:rPr>
        <w:t>Where their total estate is likely to exceed the Nil Rate Band.</w:t>
      </w:r>
    </w:p>
    <w:p w14:paraId="0C88621F" w14:textId="77777777" w:rsidR="0089502F" w:rsidRPr="004B1C4F" w:rsidRDefault="0089502F" w:rsidP="009A46F2">
      <w:pPr>
        <w:pStyle w:val="ListParagraph"/>
        <w:numPr>
          <w:ilvl w:val="0"/>
          <w:numId w:val="5"/>
        </w:numPr>
        <w:spacing w:after="0"/>
        <w:ind w:left="851" w:hanging="284"/>
        <w:rPr>
          <w:rFonts w:ascii="Arial" w:hAnsi="Arial" w:cs="Arial"/>
          <w:color w:val="000000" w:themeColor="text1"/>
          <w:sz w:val="18"/>
          <w:szCs w:val="18"/>
        </w:rPr>
      </w:pPr>
      <w:r w:rsidRPr="004B1C4F">
        <w:rPr>
          <w:rFonts w:ascii="Arial" w:hAnsi="Arial" w:cs="Arial"/>
          <w:color w:val="000000" w:themeColor="text1"/>
          <w:sz w:val="18"/>
          <w:szCs w:val="18"/>
        </w:rPr>
        <w:t>Where they want to obtain BR and therefore reduce their estate’s Inheritance Tax liability in two years, rather than the seven years it can take if they placed the money in trust or gift it to their beneficiaries.</w:t>
      </w:r>
    </w:p>
    <w:p w14:paraId="6728F13D" w14:textId="77777777" w:rsidR="0089502F" w:rsidRPr="004B1C4F" w:rsidRDefault="0089502F" w:rsidP="009A46F2">
      <w:pPr>
        <w:pStyle w:val="ListParagraph"/>
        <w:numPr>
          <w:ilvl w:val="0"/>
          <w:numId w:val="5"/>
        </w:numPr>
        <w:spacing w:after="0"/>
        <w:ind w:left="851" w:hanging="284"/>
        <w:rPr>
          <w:rFonts w:ascii="Arial" w:hAnsi="Arial" w:cs="Arial"/>
          <w:color w:val="000000" w:themeColor="text1"/>
          <w:sz w:val="18"/>
          <w:szCs w:val="18"/>
        </w:rPr>
      </w:pPr>
      <w:r w:rsidRPr="004B1C4F">
        <w:rPr>
          <w:rFonts w:ascii="Arial" w:hAnsi="Arial" w:cs="Arial"/>
          <w:color w:val="000000" w:themeColor="text1"/>
          <w:sz w:val="18"/>
          <w:szCs w:val="18"/>
        </w:rPr>
        <w:t>Where they want to retain control of their assets, as opposed to placing them in trust or gifting them to their beneficiaries.</w:t>
      </w:r>
    </w:p>
    <w:p w14:paraId="28BB90EC" w14:textId="77777777" w:rsidR="0089502F" w:rsidRPr="004B1C4F" w:rsidRDefault="0089502F" w:rsidP="009A46F2">
      <w:pPr>
        <w:pStyle w:val="ListParagraph"/>
        <w:numPr>
          <w:ilvl w:val="0"/>
          <w:numId w:val="5"/>
        </w:numPr>
        <w:spacing w:after="0"/>
        <w:ind w:left="851" w:hanging="284"/>
        <w:rPr>
          <w:rFonts w:ascii="Arial" w:hAnsi="Arial" w:cs="Arial"/>
          <w:color w:val="000000" w:themeColor="text1"/>
          <w:sz w:val="18"/>
          <w:szCs w:val="18"/>
        </w:rPr>
      </w:pPr>
      <w:r w:rsidRPr="004B1C4F">
        <w:rPr>
          <w:rFonts w:ascii="Arial" w:hAnsi="Arial" w:cs="Arial"/>
          <w:color w:val="000000" w:themeColor="text1"/>
          <w:sz w:val="18"/>
          <w:szCs w:val="18"/>
        </w:rPr>
        <w:t>Where they want to retain exposure to the potential growth of the equity market and appreciate the risks and rewards of investing in the stock market and in smaller companies in particular.</w:t>
      </w:r>
    </w:p>
    <w:p w14:paraId="3EB36675" w14:textId="77777777" w:rsidR="0089502F" w:rsidRPr="004B1C4F" w:rsidRDefault="0089502F" w:rsidP="009A46F2">
      <w:pPr>
        <w:pStyle w:val="ListParagraph"/>
        <w:numPr>
          <w:ilvl w:val="0"/>
          <w:numId w:val="5"/>
        </w:numPr>
        <w:spacing w:after="0"/>
        <w:ind w:left="851" w:hanging="284"/>
        <w:rPr>
          <w:rFonts w:ascii="Arial" w:hAnsi="Arial" w:cs="Arial"/>
          <w:color w:val="000000" w:themeColor="text1"/>
          <w:sz w:val="18"/>
          <w:szCs w:val="18"/>
        </w:rPr>
      </w:pPr>
      <w:r w:rsidRPr="004B1C4F">
        <w:rPr>
          <w:rFonts w:ascii="Arial" w:hAnsi="Arial" w:cs="Arial"/>
          <w:color w:val="000000" w:themeColor="text1"/>
          <w:sz w:val="18"/>
          <w:szCs w:val="18"/>
        </w:rPr>
        <w:lastRenderedPageBreak/>
        <w:t>Where they have accumulated a significant portfolio of ISA investments.</w:t>
      </w:r>
    </w:p>
    <w:p w14:paraId="036E5D3E" w14:textId="77777777" w:rsidR="0089502F" w:rsidRPr="004B1C4F" w:rsidRDefault="0089502F" w:rsidP="009A46F2">
      <w:pPr>
        <w:pStyle w:val="ListParagraph"/>
        <w:numPr>
          <w:ilvl w:val="0"/>
          <w:numId w:val="5"/>
        </w:numPr>
        <w:spacing w:after="0"/>
        <w:ind w:left="851" w:hanging="284"/>
        <w:rPr>
          <w:rFonts w:ascii="Arial" w:hAnsi="Arial" w:cs="Arial"/>
          <w:color w:val="000000" w:themeColor="text1"/>
          <w:sz w:val="18"/>
          <w:szCs w:val="18"/>
        </w:rPr>
      </w:pPr>
      <w:r w:rsidRPr="004B1C4F">
        <w:rPr>
          <w:rFonts w:ascii="Arial" w:hAnsi="Arial" w:cs="Arial"/>
          <w:color w:val="000000" w:themeColor="text1"/>
          <w:sz w:val="18"/>
          <w:szCs w:val="18"/>
        </w:rPr>
        <w:t>Where they want to keep the tax benefits of an ISA while reducing the impact of Inheritance Tax on assets passed on to family and beneficiaries.</w:t>
      </w:r>
    </w:p>
    <w:p w14:paraId="07A0B61F" w14:textId="77777777" w:rsidR="00BE436B" w:rsidRDefault="00BE436B" w:rsidP="0089502F">
      <w:pPr>
        <w:spacing w:after="0"/>
        <w:rPr>
          <w:rFonts w:ascii="Arial" w:hAnsi="Arial" w:cs="Arial"/>
          <w:b/>
          <w:sz w:val="18"/>
          <w:szCs w:val="18"/>
        </w:rPr>
      </w:pPr>
    </w:p>
    <w:p w14:paraId="73C4E34A" w14:textId="77777777" w:rsidR="00BE436B" w:rsidRDefault="00BE436B" w:rsidP="0089502F">
      <w:pPr>
        <w:spacing w:after="0"/>
        <w:rPr>
          <w:rFonts w:ascii="Arial" w:hAnsi="Arial" w:cs="Arial"/>
          <w:b/>
          <w:sz w:val="18"/>
          <w:szCs w:val="18"/>
        </w:rPr>
      </w:pPr>
    </w:p>
    <w:p w14:paraId="42003FD9" w14:textId="3B7788B9" w:rsidR="0089502F" w:rsidRPr="000A660A" w:rsidRDefault="0089502F" w:rsidP="0089502F">
      <w:pPr>
        <w:spacing w:after="0"/>
        <w:rPr>
          <w:rFonts w:ascii="Arial" w:hAnsi="Arial" w:cs="Arial"/>
          <w:sz w:val="18"/>
          <w:szCs w:val="18"/>
        </w:rPr>
      </w:pPr>
      <w:r w:rsidRPr="001C6EF5">
        <w:rPr>
          <w:rFonts w:ascii="Arial" w:hAnsi="Arial" w:cs="Arial"/>
          <w:b/>
          <w:sz w:val="18"/>
          <w:szCs w:val="18"/>
        </w:rPr>
        <w:t>The Investment Manager</w:t>
      </w:r>
    </w:p>
    <w:p w14:paraId="1E9E499E" w14:textId="77777777" w:rsidR="0089502F" w:rsidRPr="004B1C4F" w:rsidRDefault="0089502F" w:rsidP="0089502F">
      <w:pPr>
        <w:autoSpaceDE w:val="0"/>
        <w:autoSpaceDN w:val="0"/>
        <w:adjustRightInd w:val="0"/>
        <w:spacing w:after="0" w:line="240" w:lineRule="auto"/>
        <w:rPr>
          <w:rFonts w:ascii="Arial" w:hAnsi="Arial" w:cs="Arial"/>
          <w:sz w:val="18"/>
          <w:szCs w:val="18"/>
        </w:rPr>
      </w:pPr>
    </w:p>
    <w:p w14:paraId="397AE773" w14:textId="77777777" w:rsidR="0089502F" w:rsidRPr="004B1C4F" w:rsidRDefault="0089502F" w:rsidP="0089502F">
      <w:pPr>
        <w:spacing w:after="0"/>
        <w:rPr>
          <w:rFonts w:ascii="Arial" w:hAnsi="Arial" w:cs="Arial"/>
          <w:sz w:val="18"/>
          <w:szCs w:val="18"/>
        </w:rPr>
      </w:pPr>
      <w:r w:rsidRPr="004B1C4F">
        <w:rPr>
          <w:rFonts w:ascii="Arial" w:hAnsi="Arial" w:cs="Arial"/>
          <w:sz w:val="18"/>
          <w:szCs w:val="18"/>
        </w:rPr>
        <w:t>Puma Investments is part of Shore Capital Group Limited (“Shore Capital”), which has a 36-year history in analysing and advising UK listed smaller companies. It is a leading market-maker on AIM and an advisor to a large number of AIM-listed companies. The asset management division of Shore Capital, which incorporates Puma Investments, manages circa £1.8bn. Puma Investments specialises in tax-efficient investing, including Inheritance Tax Services, VCTs and EIS. Puma Investments has raised over £600m in tax efficient investments. The AIM investment team is led by Dr Stuart Rollason, an Investment Director with 20+ years of experience specialising in small and mid-cap companies.</w:t>
      </w:r>
    </w:p>
    <w:p w14:paraId="3B0DF155" w14:textId="77777777" w:rsidR="0089502F" w:rsidRPr="004B1C4F" w:rsidRDefault="0089502F" w:rsidP="0089502F">
      <w:pPr>
        <w:tabs>
          <w:tab w:val="left" w:pos="1958"/>
        </w:tabs>
        <w:spacing w:after="0"/>
        <w:rPr>
          <w:rFonts w:ascii="Arial" w:hAnsi="Arial" w:cs="Arial"/>
          <w:sz w:val="18"/>
          <w:szCs w:val="18"/>
        </w:rPr>
      </w:pPr>
      <w:r w:rsidRPr="004B1C4F">
        <w:rPr>
          <w:rFonts w:ascii="Arial" w:hAnsi="Arial" w:cs="Arial"/>
          <w:sz w:val="18"/>
          <w:szCs w:val="18"/>
        </w:rPr>
        <w:tab/>
      </w:r>
    </w:p>
    <w:p w14:paraId="20F01974" w14:textId="77777777" w:rsidR="0089502F" w:rsidRPr="004B1C4F" w:rsidRDefault="0089502F" w:rsidP="0089502F">
      <w:pPr>
        <w:spacing w:after="0"/>
        <w:rPr>
          <w:rFonts w:ascii="Arial" w:hAnsi="Arial" w:cs="Arial"/>
          <w:sz w:val="18"/>
          <w:szCs w:val="18"/>
        </w:rPr>
      </w:pPr>
      <w:r w:rsidRPr="004B1C4F">
        <w:rPr>
          <w:rFonts w:ascii="Arial" w:hAnsi="Arial" w:cs="Arial"/>
          <w:sz w:val="18"/>
          <w:szCs w:val="18"/>
        </w:rPr>
        <w:t>Puma Investments comprises an experienced team including Dr Stuart Rollason and Senior Management of David Kaye, alongside Investment Analyst Joseph Cornwall. The investment management team is supported by the strong middle and back office of Puma Investments and Shore Capital, including established compliance, legal and finance teams.</w:t>
      </w:r>
    </w:p>
    <w:p w14:paraId="360D4D3C" w14:textId="77777777" w:rsidR="0089502F" w:rsidRPr="004B1C4F" w:rsidRDefault="0089502F" w:rsidP="0089502F">
      <w:pPr>
        <w:spacing w:after="0"/>
        <w:rPr>
          <w:rFonts w:ascii="Arial" w:hAnsi="Arial" w:cs="Arial"/>
          <w:sz w:val="18"/>
          <w:szCs w:val="18"/>
        </w:rPr>
      </w:pPr>
    </w:p>
    <w:p w14:paraId="3758C553" w14:textId="77777777" w:rsidR="0089502F" w:rsidRPr="004B1C4F" w:rsidRDefault="0089502F" w:rsidP="0089502F">
      <w:pPr>
        <w:spacing w:after="0"/>
        <w:rPr>
          <w:rFonts w:ascii="Arial" w:hAnsi="Arial" w:cs="Arial"/>
          <w:sz w:val="18"/>
          <w:szCs w:val="18"/>
        </w:rPr>
      </w:pPr>
      <w:r w:rsidRPr="004B1C4F">
        <w:rPr>
          <w:rFonts w:ascii="Arial" w:hAnsi="Arial" w:cs="Arial"/>
          <w:sz w:val="18"/>
          <w:szCs w:val="18"/>
        </w:rPr>
        <w:t>Shore Capital has been involved with AIM since its inception. It provides corporate financial advice to AIM companies and distributes research on a significant number of AIM companies. It has a large number of corporate clients, the majority of which are AIM listed</w:t>
      </w:r>
      <w:bookmarkStart w:id="0" w:name="_Hlk77778000"/>
      <w:r w:rsidRPr="004B1C4F">
        <w:rPr>
          <w:rFonts w:ascii="Arial" w:hAnsi="Arial" w:cs="Arial"/>
          <w:sz w:val="18"/>
          <w:szCs w:val="18"/>
        </w:rPr>
        <w:t>. Shore Capital also makes a market in over 1,450 stocks and is the third largest market-maker on AIM by volume of stocks.</w:t>
      </w:r>
      <w:bookmarkEnd w:id="0"/>
      <w:r w:rsidRPr="004B1C4F">
        <w:rPr>
          <w:rStyle w:val="FootnoteReference"/>
          <w:rFonts w:ascii="Arial" w:hAnsi="Arial" w:cs="Arial"/>
          <w:sz w:val="18"/>
          <w:szCs w:val="18"/>
        </w:rPr>
        <w:footnoteReference w:id="4"/>
      </w:r>
    </w:p>
    <w:p w14:paraId="6396C26A" w14:textId="77777777" w:rsidR="0089502F" w:rsidRPr="004B1C4F" w:rsidRDefault="0089502F" w:rsidP="0089502F">
      <w:pPr>
        <w:spacing w:after="0"/>
        <w:rPr>
          <w:rFonts w:ascii="Arial" w:hAnsi="Arial" w:cs="Arial"/>
          <w:b/>
          <w:sz w:val="18"/>
          <w:szCs w:val="18"/>
          <w:u w:val="single"/>
        </w:rPr>
      </w:pPr>
    </w:p>
    <w:p w14:paraId="29AD3E5E" w14:textId="77777777" w:rsidR="0089502F" w:rsidRPr="004B1C4F" w:rsidRDefault="0089502F" w:rsidP="0089502F">
      <w:pPr>
        <w:spacing w:after="0"/>
        <w:rPr>
          <w:rFonts w:ascii="Arial" w:hAnsi="Arial" w:cs="Arial"/>
          <w:b/>
          <w:sz w:val="18"/>
          <w:szCs w:val="18"/>
          <w:u w:val="single"/>
        </w:rPr>
      </w:pPr>
    </w:p>
    <w:p w14:paraId="763E582A" w14:textId="59EABEAB" w:rsidR="0089502F" w:rsidRPr="001C6EF5" w:rsidRDefault="0089502F" w:rsidP="0089502F">
      <w:pPr>
        <w:spacing w:after="0"/>
        <w:rPr>
          <w:rFonts w:ascii="Arial" w:hAnsi="Arial" w:cs="Arial"/>
          <w:b/>
          <w:sz w:val="18"/>
          <w:szCs w:val="18"/>
        </w:rPr>
      </w:pPr>
      <w:r w:rsidRPr="001C6EF5">
        <w:rPr>
          <w:rFonts w:ascii="Arial" w:hAnsi="Arial" w:cs="Arial"/>
          <w:b/>
          <w:sz w:val="18"/>
          <w:szCs w:val="18"/>
        </w:rPr>
        <w:t xml:space="preserve">The </w:t>
      </w:r>
      <w:r w:rsidR="000A660A">
        <w:rPr>
          <w:rFonts w:ascii="Arial" w:hAnsi="Arial" w:cs="Arial"/>
          <w:b/>
          <w:sz w:val="18"/>
          <w:szCs w:val="18"/>
        </w:rPr>
        <w:t>t</w:t>
      </w:r>
      <w:r w:rsidR="000A660A" w:rsidRPr="001C6EF5">
        <w:rPr>
          <w:rFonts w:ascii="Arial" w:hAnsi="Arial" w:cs="Arial"/>
          <w:b/>
          <w:sz w:val="18"/>
          <w:szCs w:val="18"/>
        </w:rPr>
        <w:t xml:space="preserve">ax </w:t>
      </w:r>
      <w:r w:rsidR="000A660A">
        <w:rPr>
          <w:rFonts w:ascii="Arial" w:hAnsi="Arial" w:cs="Arial"/>
          <w:b/>
          <w:sz w:val="18"/>
          <w:szCs w:val="18"/>
        </w:rPr>
        <w:t>a</w:t>
      </w:r>
      <w:r w:rsidR="000A660A" w:rsidRPr="001C6EF5">
        <w:rPr>
          <w:rFonts w:ascii="Arial" w:hAnsi="Arial" w:cs="Arial"/>
          <w:b/>
          <w:sz w:val="18"/>
          <w:szCs w:val="18"/>
        </w:rPr>
        <w:t xml:space="preserve">dvantages </w:t>
      </w:r>
      <w:r w:rsidRPr="001C6EF5">
        <w:rPr>
          <w:rFonts w:ascii="Arial" w:hAnsi="Arial" w:cs="Arial"/>
          <w:b/>
          <w:sz w:val="18"/>
          <w:szCs w:val="18"/>
        </w:rPr>
        <w:t>of the Puma AIM Inheritance Tax Service</w:t>
      </w:r>
    </w:p>
    <w:p w14:paraId="50C9300E" w14:textId="77777777" w:rsidR="0089502F" w:rsidRPr="004B1C4F" w:rsidRDefault="0089502F" w:rsidP="0089502F">
      <w:pPr>
        <w:spacing w:after="0"/>
        <w:rPr>
          <w:rFonts w:ascii="Arial" w:hAnsi="Arial" w:cs="Arial"/>
          <w:sz w:val="18"/>
          <w:szCs w:val="18"/>
        </w:rPr>
      </w:pPr>
    </w:p>
    <w:p w14:paraId="51455909" w14:textId="77777777" w:rsidR="0089502F" w:rsidRPr="001C6EF5" w:rsidRDefault="0089502F" w:rsidP="009A46F2">
      <w:pPr>
        <w:spacing w:after="0"/>
        <w:ind w:left="567"/>
        <w:rPr>
          <w:rFonts w:ascii="Arial" w:hAnsi="Arial" w:cs="Arial"/>
          <w:b/>
          <w:bCs/>
          <w:sz w:val="18"/>
          <w:szCs w:val="18"/>
        </w:rPr>
      </w:pPr>
      <w:r w:rsidRPr="001C6EF5">
        <w:rPr>
          <w:rFonts w:ascii="Arial" w:hAnsi="Arial" w:cs="Arial"/>
          <w:b/>
          <w:bCs/>
          <w:sz w:val="18"/>
          <w:szCs w:val="18"/>
        </w:rPr>
        <w:t>Inheritance Tax Relief</w:t>
      </w:r>
    </w:p>
    <w:p w14:paraId="6C7580D7" w14:textId="77777777" w:rsidR="0089502F" w:rsidRPr="004B1C4F" w:rsidRDefault="0089502F" w:rsidP="009A46F2">
      <w:pPr>
        <w:spacing w:after="0"/>
        <w:ind w:left="567"/>
        <w:rPr>
          <w:rFonts w:ascii="Arial" w:hAnsi="Arial" w:cs="Arial"/>
          <w:sz w:val="18"/>
          <w:szCs w:val="18"/>
          <w:u w:val="single"/>
        </w:rPr>
      </w:pPr>
    </w:p>
    <w:p w14:paraId="72DC9863" w14:textId="77777777" w:rsidR="0089502F" w:rsidRPr="004B1C4F" w:rsidRDefault="0089502F" w:rsidP="009A46F2">
      <w:pPr>
        <w:spacing w:after="0"/>
        <w:ind w:left="567"/>
        <w:rPr>
          <w:rFonts w:ascii="Arial" w:hAnsi="Arial" w:cs="Arial"/>
          <w:sz w:val="18"/>
          <w:szCs w:val="18"/>
        </w:rPr>
      </w:pPr>
      <w:r w:rsidRPr="004B1C4F">
        <w:rPr>
          <w:rFonts w:ascii="Arial" w:hAnsi="Arial" w:cs="Arial"/>
          <w:sz w:val="18"/>
          <w:szCs w:val="18"/>
        </w:rPr>
        <w:t xml:space="preserve">Under current legislation, an individual’s estate can potentially lose up to 40% of its value to Inheritance Tax, above the Nil Rate Band. Unlike gift or trust solutions, which can take seven years to be fully exempt from Inheritance Tax, any investment into the Service is intended to benefit from 100% relief from Inheritance Tax after just two years. </w:t>
      </w:r>
    </w:p>
    <w:p w14:paraId="13CEF78B" w14:textId="77777777" w:rsidR="0089502F" w:rsidRPr="004B1C4F" w:rsidRDefault="0089502F" w:rsidP="009A46F2">
      <w:pPr>
        <w:spacing w:after="0"/>
        <w:ind w:left="567"/>
        <w:rPr>
          <w:rFonts w:ascii="Arial" w:hAnsi="Arial" w:cs="Arial"/>
          <w:sz w:val="18"/>
          <w:szCs w:val="18"/>
        </w:rPr>
      </w:pPr>
    </w:p>
    <w:p w14:paraId="05FB406E" w14:textId="77777777" w:rsidR="0089502F" w:rsidRPr="004B1C4F" w:rsidRDefault="0089502F" w:rsidP="009A46F2">
      <w:pPr>
        <w:spacing w:after="0"/>
        <w:ind w:left="567"/>
        <w:rPr>
          <w:rFonts w:ascii="Arial" w:hAnsi="Arial" w:cs="Arial"/>
          <w:sz w:val="18"/>
          <w:szCs w:val="18"/>
        </w:rPr>
      </w:pPr>
      <w:r w:rsidRPr="004B1C4F">
        <w:rPr>
          <w:rFonts w:ascii="Arial" w:hAnsi="Arial" w:cs="Arial"/>
          <w:sz w:val="18"/>
          <w:szCs w:val="18"/>
        </w:rPr>
        <w:t xml:space="preserve">Shares purchased within the Service are intended to qualify for BR. PwC is engaged by the Investment Manager to review all of the holdings on an annual basis. PwC assesses whether it considers the holdings to be treated as ‘relevant business property’ for the purposes of Inheritance Tax and therefore entitled to up to 100% relief from Inheritance Tax, provided the shares have been held for at least two years prior to, and as at, death (depending on an investor’s circumstances and changes to legislation). </w:t>
      </w:r>
    </w:p>
    <w:p w14:paraId="12E36087" w14:textId="77777777" w:rsidR="0089502F" w:rsidRPr="004B1C4F" w:rsidRDefault="0089502F" w:rsidP="009A46F2">
      <w:pPr>
        <w:spacing w:after="0"/>
        <w:ind w:left="567"/>
        <w:rPr>
          <w:rFonts w:ascii="Arial" w:hAnsi="Arial" w:cs="Arial"/>
          <w:sz w:val="18"/>
          <w:szCs w:val="18"/>
        </w:rPr>
      </w:pPr>
    </w:p>
    <w:p w14:paraId="37FAE719" w14:textId="77777777" w:rsidR="0089502F" w:rsidRPr="004B1C4F" w:rsidRDefault="0089502F" w:rsidP="009A46F2">
      <w:pPr>
        <w:spacing w:after="0"/>
        <w:ind w:left="567"/>
        <w:rPr>
          <w:rFonts w:ascii="Arial" w:hAnsi="Arial" w:cs="Arial"/>
          <w:sz w:val="18"/>
          <w:szCs w:val="18"/>
        </w:rPr>
      </w:pPr>
      <w:r w:rsidRPr="004B1C4F">
        <w:rPr>
          <w:rFonts w:ascii="Arial" w:hAnsi="Arial" w:cs="Arial"/>
          <w:sz w:val="18"/>
          <w:szCs w:val="18"/>
        </w:rPr>
        <w:t xml:space="preserve">In addition, investors will not lose permanent control of their assets as is the case when making a gift or placing assets in trust. </w:t>
      </w:r>
    </w:p>
    <w:p w14:paraId="2F806B92" w14:textId="77777777" w:rsidR="0089502F" w:rsidRPr="004B1C4F" w:rsidRDefault="0089502F" w:rsidP="009A46F2">
      <w:pPr>
        <w:spacing w:after="0"/>
        <w:ind w:left="567"/>
        <w:rPr>
          <w:rFonts w:ascii="Arial" w:hAnsi="Arial" w:cs="Arial"/>
          <w:sz w:val="18"/>
          <w:szCs w:val="18"/>
        </w:rPr>
      </w:pPr>
    </w:p>
    <w:p w14:paraId="6CAB906F" w14:textId="77777777" w:rsidR="0089502F" w:rsidRPr="001C6EF5" w:rsidRDefault="0089502F" w:rsidP="009A46F2">
      <w:pPr>
        <w:spacing w:after="0"/>
        <w:ind w:left="567"/>
        <w:rPr>
          <w:rFonts w:ascii="Arial" w:hAnsi="Arial" w:cs="Arial"/>
          <w:b/>
          <w:bCs/>
          <w:color w:val="000000" w:themeColor="text1"/>
          <w:sz w:val="18"/>
          <w:szCs w:val="18"/>
        </w:rPr>
      </w:pPr>
      <w:r w:rsidRPr="001C6EF5">
        <w:rPr>
          <w:rFonts w:ascii="Arial" w:hAnsi="Arial" w:cs="Arial"/>
          <w:b/>
          <w:bCs/>
          <w:color w:val="000000" w:themeColor="text1"/>
          <w:sz w:val="18"/>
          <w:szCs w:val="18"/>
        </w:rPr>
        <w:t>Holding Puma AIM Inheritance Tax within an ISA</w:t>
      </w:r>
    </w:p>
    <w:p w14:paraId="0CD0EEB5" w14:textId="77777777" w:rsidR="0089502F" w:rsidRPr="004B1C4F" w:rsidRDefault="0089502F" w:rsidP="009A46F2">
      <w:pPr>
        <w:spacing w:after="0"/>
        <w:ind w:left="567"/>
        <w:rPr>
          <w:rFonts w:ascii="Arial" w:hAnsi="Arial" w:cs="Arial"/>
          <w:color w:val="000000" w:themeColor="text1"/>
          <w:sz w:val="18"/>
          <w:szCs w:val="18"/>
        </w:rPr>
      </w:pPr>
    </w:p>
    <w:p w14:paraId="46625D4F" w14:textId="77777777" w:rsidR="0089502F" w:rsidRPr="004B1C4F" w:rsidRDefault="0089502F" w:rsidP="009A46F2">
      <w:pPr>
        <w:spacing w:after="0"/>
        <w:ind w:left="567"/>
        <w:rPr>
          <w:rFonts w:ascii="Arial" w:hAnsi="Arial" w:cs="Arial"/>
          <w:color w:val="000000" w:themeColor="text1"/>
          <w:sz w:val="18"/>
          <w:szCs w:val="18"/>
        </w:rPr>
      </w:pPr>
      <w:r w:rsidRPr="004B1C4F">
        <w:rPr>
          <w:rFonts w:ascii="Arial" w:hAnsi="Arial" w:cs="Arial"/>
          <w:color w:val="000000" w:themeColor="text1"/>
          <w:sz w:val="18"/>
          <w:szCs w:val="18"/>
        </w:rPr>
        <w:t xml:space="preserve">ISAs are highly tax-efficient savings vehicles as they benefit from no additional Income Tax being payable on interest or dividend income; no Capital Gains Tax is payable on gains. </w:t>
      </w:r>
    </w:p>
    <w:p w14:paraId="46A28B72" w14:textId="77777777" w:rsidR="0089502F" w:rsidRPr="004B1C4F" w:rsidRDefault="0089502F" w:rsidP="009A46F2">
      <w:pPr>
        <w:spacing w:after="0"/>
        <w:ind w:left="567"/>
        <w:rPr>
          <w:rFonts w:ascii="Arial" w:hAnsi="Arial" w:cs="Arial"/>
          <w:color w:val="000000" w:themeColor="text1"/>
          <w:sz w:val="18"/>
          <w:szCs w:val="18"/>
        </w:rPr>
      </w:pPr>
    </w:p>
    <w:p w14:paraId="167E4C58" w14:textId="05C0DABB" w:rsidR="001C6EF5" w:rsidRDefault="0089502F" w:rsidP="00BE436B">
      <w:pPr>
        <w:spacing w:after="0"/>
        <w:ind w:left="567"/>
        <w:rPr>
          <w:rFonts w:ascii="Arial" w:hAnsi="Arial" w:cs="Arial"/>
          <w:color w:val="000000" w:themeColor="text1"/>
          <w:sz w:val="18"/>
          <w:szCs w:val="18"/>
        </w:rPr>
      </w:pPr>
      <w:r w:rsidRPr="004B1C4F">
        <w:rPr>
          <w:rFonts w:ascii="Arial" w:hAnsi="Arial" w:cs="Arial"/>
          <w:color w:val="000000" w:themeColor="text1"/>
          <w:sz w:val="18"/>
          <w:szCs w:val="18"/>
        </w:rPr>
        <w:lastRenderedPageBreak/>
        <w:t>Whilst ISAs are highly tax efficient during the holder’s lifetime, upon death ISA balances may be subject to a 40% Inheritance Tax liability. Investing in a BR-qualifying portfolio of AIM stocks potentially allows an investor to mitigate Inheritance Tax while still retaining the benefits of an ISA.</w:t>
      </w:r>
    </w:p>
    <w:p w14:paraId="5293F6F3" w14:textId="117598E7" w:rsidR="00BE436B" w:rsidRDefault="00BE436B" w:rsidP="00BE436B">
      <w:pPr>
        <w:spacing w:after="0"/>
        <w:ind w:left="567"/>
        <w:rPr>
          <w:rFonts w:ascii="Arial" w:hAnsi="Arial" w:cs="Arial"/>
          <w:color w:val="000000" w:themeColor="text1"/>
          <w:sz w:val="18"/>
          <w:szCs w:val="18"/>
        </w:rPr>
      </w:pPr>
    </w:p>
    <w:p w14:paraId="67779A7A" w14:textId="77777777" w:rsidR="00BE436B" w:rsidRDefault="00BE436B" w:rsidP="00BE436B">
      <w:pPr>
        <w:spacing w:after="0"/>
        <w:ind w:left="567"/>
        <w:rPr>
          <w:rFonts w:ascii="Arial" w:hAnsi="Arial" w:cs="Arial"/>
          <w:b/>
          <w:sz w:val="18"/>
          <w:szCs w:val="18"/>
        </w:rPr>
      </w:pPr>
    </w:p>
    <w:p w14:paraId="40491F8D" w14:textId="2391412E" w:rsidR="0089502F" w:rsidRPr="001C6EF5" w:rsidRDefault="0089502F" w:rsidP="0089502F">
      <w:pPr>
        <w:spacing w:after="0" w:line="240" w:lineRule="auto"/>
        <w:jc w:val="both"/>
        <w:rPr>
          <w:rFonts w:ascii="Arial" w:hAnsi="Arial" w:cs="Arial"/>
          <w:b/>
          <w:sz w:val="18"/>
          <w:szCs w:val="18"/>
        </w:rPr>
      </w:pPr>
      <w:r w:rsidRPr="001C6EF5">
        <w:rPr>
          <w:rFonts w:ascii="Arial" w:hAnsi="Arial" w:cs="Arial"/>
          <w:b/>
          <w:sz w:val="18"/>
          <w:szCs w:val="18"/>
        </w:rPr>
        <w:t xml:space="preserve">Investment </w:t>
      </w:r>
      <w:r w:rsidR="000A660A" w:rsidRPr="001C6EF5">
        <w:rPr>
          <w:rFonts w:ascii="Arial" w:hAnsi="Arial" w:cs="Arial"/>
          <w:b/>
          <w:sz w:val="18"/>
          <w:szCs w:val="18"/>
        </w:rPr>
        <w:t>objectives</w:t>
      </w:r>
    </w:p>
    <w:p w14:paraId="504C4867" w14:textId="77777777" w:rsidR="0089502F" w:rsidRPr="004B1C4F" w:rsidRDefault="0089502F" w:rsidP="0089502F">
      <w:pPr>
        <w:autoSpaceDE w:val="0"/>
        <w:autoSpaceDN w:val="0"/>
        <w:adjustRightInd w:val="0"/>
        <w:spacing w:after="0" w:line="240" w:lineRule="auto"/>
        <w:rPr>
          <w:rFonts w:ascii="Arial" w:hAnsi="Arial" w:cs="Arial"/>
          <w:sz w:val="18"/>
          <w:szCs w:val="18"/>
        </w:rPr>
      </w:pPr>
    </w:p>
    <w:p w14:paraId="19826BA4" w14:textId="77777777" w:rsidR="0089502F" w:rsidRPr="004B1C4F" w:rsidRDefault="0089502F" w:rsidP="0089502F">
      <w:pPr>
        <w:spacing w:after="0"/>
        <w:rPr>
          <w:rFonts w:ascii="Arial" w:hAnsi="Arial" w:cs="Arial"/>
          <w:sz w:val="18"/>
          <w:szCs w:val="18"/>
        </w:rPr>
      </w:pPr>
      <w:r w:rsidRPr="004B1C4F">
        <w:rPr>
          <w:rFonts w:ascii="Arial" w:hAnsi="Arial" w:cs="Arial"/>
          <w:sz w:val="18"/>
          <w:szCs w:val="18"/>
        </w:rPr>
        <w:t>The Investment Manager aims to invest in quality companies with strong margins, good returns and a track record of cash generation. Companies are selected on strict valuation criteria. The Investment Manager will seek to invest in companies which can deliver solid long-term growth. The Investment Manager’s approach is research driven and investments are only selected after intensive financial and business analysis.</w:t>
      </w:r>
    </w:p>
    <w:p w14:paraId="3B682C59" w14:textId="77777777" w:rsidR="0089502F" w:rsidRPr="004B1C4F" w:rsidRDefault="0089502F" w:rsidP="0089502F">
      <w:pPr>
        <w:spacing w:after="0" w:line="240" w:lineRule="auto"/>
        <w:jc w:val="both"/>
        <w:rPr>
          <w:rFonts w:ascii="Arial" w:hAnsi="Arial" w:cs="Arial"/>
          <w:b/>
          <w:sz w:val="18"/>
          <w:szCs w:val="18"/>
          <w:u w:val="single"/>
        </w:rPr>
      </w:pPr>
    </w:p>
    <w:p w14:paraId="267A2DE5" w14:textId="77777777" w:rsidR="0089502F" w:rsidRPr="004B1C4F" w:rsidRDefault="0089502F" w:rsidP="0089502F">
      <w:pPr>
        <w:spacing w:after="0" w:line="240" w:lineRule="auto"/>
        <w:jc w:val="both"/>
        <w:rPr>
          <w:rFonts w:ascii="Arial" w:hAnsi="Arial" w:cs="Arial"/>
          <w:b/>
          <w:sz w:val="18"/>
          <w:szCs w:val="18"/>
          <w:u w:val="single"/>
        </w:rPr>
      </w:pPr>
    </w:p>
    <w:p w14:paraId="383F82AF" w14:textId="6D847FBC" w:rsidR="0089502F" w:rsidRPr="001C6EF5" w:rsidRDefault="0089502F" w:rsidP="0089502F">
      <w:pPr>
        <w:spacing w:after="0" w:line="240" w:lineRule="auto"/>
        <w:jc w:val="both"/>
        <w:rPr>
          <w:rFonts w:ascii="Arial" w:hAnsi="Arial" w:cs="Arial"/>
          <w:b/>
          <w:sz w:val="18"/>
          <w:szCs w:val="18"/>
        </w:rPr>
      </w:pPr>
      <w:r w:rsidRPr="001C6EF5">
        <w:rPr>
          <w:rFonts w:ascii="Arial" w:hAnsi="Arial" w:cs="Arial"/>
          <w:b/>
          <w:sz w:val="18"/>
          <w:szCs w:val="18"/>
        </w:rPr>
        <w:t xml:space="preserve">Investment </w:t>
      </w:r>
      <w:r w:rsidR="000A660A" w:rsidRPr="001C6EF5">
        <w:rPr>
          <w:rFonts w:ascii="Arial" w:hAnsi="Arial" w:cs="Arial"/>
          <w:b/>
          <w:sz w:val="18"/>
          <w:szCs w:val="18"/>
        </w:rPr>
        <w:t>policy</w:t>
      </w:r>
    </w:p>
    <w:p w14:paraId="77853AE7" w14:textId="77777777" w:rsidR="0089502F" w:rsidRPr="004B1C4F" w:rsidRDefault="0089502F" w:rsidP="0089502F">
      <w:pPr>
        <w:autoSpaceDE w:val="0"/>
        <w:autoSpaceDN w:val="0"/>
        <w:adjustRightInd w:val="0"/>
        <w:spacing w:after="0"/>
        <w:rPr>
          <w:rFonts w:ascii="Arial" w:hAnsi="Arial" w:cs="Arial"/>
          <w:sz w:val="18"/>
          <w:szCs w:val="18"/>
        </w:rPr>
      </w:pPr>
    </w:p>
    <w:p w14:paraId="4D31AD1F" w14:textId="77777777" w:rsidR="0089502F" w:rsidRPr="004B1C4F" w:rsidRDefault="0089502F" w:rsidP="0089502F">
      <w:pPr>
        <w:autoSpaceDE w:val="0"/>
        <w:autoSpaceDN w:val="0"/>
        <w:adjustRightInd w:val="0"/>
        <w:spacing w:after="0"/>
        <w:rPr>
          <w:rFonts w:ascii="Arial" w:hAnsi="Arial" w:cs="Arial"/>
          <w:sz w:val="18"/>
          <w:szCs w:val="18"/>
        </w:rPr>
      </w:pPr>
      <w:r w:rsidRPr="004B1C4F">
        <w:rPr>
          <w:rFonts w:ascii="Arial" w:hAnsi="Arial" w:cs="Arial"/>
          <w:sz w:val="18"/>
          <w:szCs w:val="18"/>
        </w:rPr>
        <w:t>The Service is targeting quality companies that are considered to be profitable and cash generative, with a minimum market cap of at least £50m. Potential investments are carefully analysed and the Investment Manager considers the selection of stocks through the application of three key criteria:</w:t>
      </w:r>
    </w:p>
    <w:p w14:paraId="05CB6C2F" w14:textId="77777777" w:rsidR="0089502F" w:rsidRPr="004B1C4F" w:rsidRDefault="0089502F" w:rsidP="0089502F">
      <w:pPr>
        <w:autoSpaceDE w:val="0"/>
        <w:autoSpaceDN w:val="0"/>
        <w:adjustRightInd w:val="0"/>
        <w:spacing w:after="0"/>
        <w:rPr>
          <w:rFonts w:ascii="Arial" w:hAnsi="Arial" w:cs="Arial"/>
          <w:sz w:val="18"/>
          <w:szCs w:val="18"/>
        </w:rPr>
      </w:pPr>
    </w:p>
    <w:p w14:paraId="68020C75" w14:textId="77777777" w:rsidR="0089502F" w:rsidRPr="001C6EF5" w:rsidRDefault="0089502F" w:rsidP="009A46F2">
      <w:pPr>
        <w:autoSpaceDE w:val="0"/>
        <w:autoSpaceDN w:val="0"/>
        <w:adjustRightInd w:val="0"/>
        <w:spacing w:after="0"/>
        <w:ind w:left="851" w:hanging="284"/>
        <w:rPr>
          <w:rFonts w:ascii="Arial" w:hAnsi="Arial" w:cs="Arial"/>
          <w:b/>
          <w:bCs/>
          <w:sz w:val="18"/>
          <w:szCs w:val="18"/>
        </w:rPr>
      </w:pPr>
      <w:r w:rsidRPr="001C6EF5">
        <w:rPr>
          <w:rFonts w:ascii="Arial" w:hAnsi="Arial" w:cs="Arial"/>
          <w:b/>
          <w:bCs/>
          <w:sz w:val="18"/>
          <w:szCs w:val="18"/>
        </w:rPr>
        <w:t>Quality check</w:t>
      </w:r>
    </w:p>
    <w:p w14:paraId="31A4C5FD"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Sensible management, often with a stake in the business</w:t>
      </w:r>
    </w:p>
    <w:p w14:paraId="194C3A74"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Profitable companies with sustainable margins</w:t>
      </w:r>
    </w:p>
    <w:p w14:paraId="1C6B28D1"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Potential for value creation, returns exceeding cost of capital</w:t>
      </w:r>
    </w:p>
    <w:p w14:paraId="5609A800"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Generating positive cashflows</w:t>
      </w:r>
    </w:p>
    <w:p w14:paraId="4B7EEC2E"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Low debt ratios or preferably net cash including pension liabilities</w:t>
      </w:r>
    </w:p>
    <w:p w14:paraId="5F3774EE"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Selected for medium to long term potential</w:t>
      </w:r>
    </w:p>
    <w:p w14:paraId="6D8DAE97" w14:textId="77777777" w:rsidR="0089502F" w:rsidRPr="004B1C4F" w:rsidRDefault="0089502F" w:rsidP="009A46F2">
      <w:pPr>
        <w:autoSpaceDE w:val="0"/>
        <w:autoSpaceDN w:val="0"/>
        <w:adjustRightInd w:val="0"/>
        <w:spacing w:after="0"/>
        <w:ind w:left="851" w:hanging="284"/>
        <w:rPr>
          <w:rFonts w:ascii="Arial" w:hAnsi="Arial" w:cs="Arial"/>
          <w:sz w:val="18"/>
          <w:szCs w:val="18"/>
        </w:rPr>
      </w:pPr>
    </w:p>
    <w:p w14:paraId="6F6FD8C7" w14:textId="77777777" w:rsidR="0089502F" w:rsidRPr="001C6EF5" w:rsidRDefault="0089502F" w:rsidP="009A46F2">
      <w:pPr>
        <w:autoSpaceDE w:val="0"/>
        <w:autoSpaceDN w:val="0"/>
        <w:adjustRightInd w:val="0"/>
        <w:spacing w:after="0"/>
        <w:ind w:left="851" w:hanging="284"/>
        <w:rPr>
          <w:rFonts w:ascii="Arial" w:hAnsi="Arial" w:cs="Arial"/>
          <w:b/>
          <w:bCs/>
          <w:sz w:val="18"/>
          <w:szCs w:val="18"/>
        </w:rPr>
      </w:pPr>
      <w:r w:rsidRPr="001C6EF5">
        <w:rPr>
          <w:rFonts w:ascii="Arial" w:hAnsi="Arial" w:cs="Arial"/>
          <w:b/>
          <w:bCs/>
          <w:sz w:val="18"/>
          <w:szCs w:val="18"/>
        </w:rPr>
        <w:t>Growth check</w:t>
      </w:r>
    </w:p>
    <w:p w14:paraId="30DC494C"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Addresses growing markets or can take market share in a slower-growing market</w:t>
      </w:r>
    </w:p>
    <w:p w14:paraId="0DF4BDF5"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Can reinvest the cash to generate growth and shareholder value</w:t>
      </w:r>
    </w:p>
    <w:p w14:paraId="01280F37"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Opportunities for acquisitive growth to increase shareholder value</w:t>
      </w:r>
    </w:p>
    <w:p w14:paraId="78DC4EB9" w14:textId="77777777" w:rsidR="0089502F" w:rsidRPr="004B1C4F" w:rsidRDefault="0089502F" w:rsidP="009A46F2">
      <w:pPr>
        <w:autoSpaceDE w:val="0"/>
        <w:autoSpaceDN w:val="0"/>
        <w:adjustRightInd w:val="0"/>
        <w:spacing w:after="0"/>
        <w:ind w:left="851" w:hanging="284"/>
        <w:rPr>
          <w:rFonts w:ascii="Arial" w:hAnsi="Arial" w:cs="Arial"/>
          <w:sz w:val="18"/>
          <w:szCs w:val="18"/>
        </w:rPr>
      </w:pPr>
    </w:p>
    <w:p w14:paraId="36C513AF" w14:textId="77777777" w:rsidR="0089502F" w:rsidRPr="001C6EF5" w:rsidRDefault="0089502F" w:rsidP="009A46F2">
      <w:pPr>
        <w:autoSpaceDE w:val="0"/>
        <w:autoSpaceDN w:val="0"/>
        <w:adjustRightInd w:val="0"/>
        <w:spacing w:after="0"/>
        <w:ind w:left="851" w:hanging="284"/>
        <w:rPr>
          <w:rFonts w:ascii="Arial" w:hAnsi="Arial" w:cs="Arial"/>
          <w:b/>
          <w:bCs/>
          <w:sz w:val="18"/>
          <w:szCs w:val="18"/>
        </w:rPr>
      </w:pPr>
      <w:r w:rsidRPr="001C6EF5">
        <w:rPr>
          <w:rFonts w:ascii="Arial" w:hAnsi="Arial" w:cs="Arial"/>
          <w:b/>
          <w:bCs/>
          <w:sz w:val="18"/>
          <w:szCs w:val="18"/>
        </w:rPr>
        <w:t>Valuation check</w:t>
      </w:r>
    </w:p>
    <w:p w14:paraId="4190E4FC"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Only balance sheets which have limited gearing or even better a net cash position will be considered</w:t>
      </w:r>
    </w:p>
    <w:p w14:paraId="6EAD6B2A"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Companies that pay dividends are preferred</w:t>
      </w:r>
    </w:p>
    <w:p w14:paraId="0DF51F60"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Various valuation ratios are employed to assess a company's financial health</w:t>
      </w:r>
    </w:p>
    <w:p w14:paraId="0FC155C2" w14:textId="77777777" w:rsidR="0089502F" w:rsidRPr="004B1C4F" w:rsidRDefault="0089502F" w:rsidP="009A46F2">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Ultimately a company must be able to deliver free cash flows</w:t>
      </w:r>
    </w:p>
    <w:p w14:paraId="0703A994" w14:textId="77777777" w:rsidR="0089502F" w:rsidRPr="004B1C4F" w:rsidRDefault="0089502F" w:rsidP="0089502F">
      <w:pPr>
        <w:autoSpaceDE w:val="0"/>
        <w:autoSpaceDN w:val="0"/>
        <w:adjustRightInd w:val="0"/>
        <w:spacing w:after="0"/>
        <w:rPr>
          <w:rFonts w:ascii="Arial" w:hAnsi="Arial" w:cs="Arial"/>
          <w:b/>
          <w:sz w:val="18"/>
          <w:szCs w:val="18"/>
        </w:rPr>
      </w:pPr>
    </w:p>
    <w:p w14:paraId="328D4BCA" w14:textId="77777777" w:rsidR="0089502F" w:rsidRPr="004B1C4F" w:rsidRDefault="0089502F" w:rsidP="0089502F">
      <w:pPr>
        <w:autoSpaceDE w:val="0"/>
        <w:autoSpaceDN w:val="0"/>
        <w:adjustRightInd w:val="0"/>
        <w:spacing w:after="0"/>
        <w:rPr>
          <w:rFonts w:ascii="Arial" w:hAnsi="Arial" w:cs="Arial"/>
          <w:b/>
          <w:sz w:val="18"/>
          <w:szCs w:val="18"/>
        </w:rPr>
      </w:pPr>
    </w:p>
    <w:p w14:paraId="71A1409F" w14:textId="23AA2738" w:rsidR="0089502F" w:rsidRPr="001C6EF5" w:rsidRDefault="0089502F" w:rsidP="0089502F">
      <w:pPr>
        <w:spacing w:after="0" w:line="240" w:lineRule="auto"/>
        <w:jc w:val="both"/>
        <w:rPr>
          <w:rFonts w:ascii="Arial" w:hAnsi="Arial" w:cs="Arial"/>
          <w:b/>
          <w:sz w:val="18"/>
          <w:szCs w:val="18"/>
        </w:rPr>
      </w:pPr>
      <w:r w:rsidRPr="001C6EF5">
        <w:rPr>
          <w:rFonts w:ascii="Arial" w:hAnsi="Arial" w:cs="Arial"/>
          <w:b/>
          <w:sz w:val="18"/>
          <w:szCs w:val="18"/>
        </w:rPr>
        <w:t xml:space="preserve">Portfolio </w:t>
      </w:r>
      <w:r w:rsidR="00BE55BF" w:rsidRPr="001C6EF5">
        <w:rPr>
          <w:rFonts w:ascii="Arial" w:hAnsi="Arial" w:cs="Arial"/>
          <w:b/>
          <w:sz w:val="18"/>
          <w:szCs w:val="18"/>
        </w:rPr>
        <w:t>construction</w:t>
      </w:r>
    </w:p>
    <w:p w14:paraId="52391576" w14:textId="77777777" w:rsidR="0089502F" w:rsidRPr="004B1C4F" w:rsidRDefault="0089502F" w:rsidP="0089502F">
      <w:pPr>
        <w:spacing w:after="0" w:line="240" w:lineRule="auto"/>
        <w:jc w:val="both"/>
        <w:rPr>
          <w:rFonts w:ascii="Arial" w:hAnsi="Arial" w:cs="Arial"/>
          <w:sz w:val="18"/>
          <w:szCs w:val="18"/>
        </w:rPr>
      </w:pPr>
    </w:p>
    <w:p w14:paraId="72F939E3" w14:textId="77777777" w:rsidR="0089502F" w:rsidRPr="004B1C4F" w:rsidRDefault="0089502F" w:rsidP="0089502F">
      <w:pPr>
        <w:autoSpaceDE w:val="0"/>
        <w:autoSpaceDN w:val="0"/>
        <w:adjustRightInd w:val="0"/>
        <w:spacing w:after="0"/>
        <w:rPr>
          <w:rFonts w:ascii="Arial" w:hAnsi="Arial" w:cs="Arial"/>
          <w:sz w:val="18"/>
          <w:szCs w:val="18"/>
        </w:rPr>
      </w:pPr>
      <w:r w:rsidRPr="004B1C4F">
        <w:rPr>
          <w:rFonts w:ascii="Arial" w:hAnsi="Arial" w:cs="Arial"/>
          <w:sz w:val="18"/>
          <w:szCs w:val="18"/>
        </w:rPr>
        <w:t>The Investment Manager will target a portfolio with the following characteristics:</w:t>
      </w:r>
    </w:p>
    <w:p w14:paraId="5E2EBA7D" w14:textId="77777777" w:rsidR="0089502F" w:rsidRPr="004B1C4F" w:rsidRDefault="0089502F" w:rsidP="0089502F">
      <w:pPr>
        <w:autoSpaceDE w:val="0"/>
        <w:autoSpaceDN w:val="0"/>
        <w:adjustRightInd w:val="0"/>
        <w:spacing w:after="0"/>
        <w:rPr>
          <w:rFonts w:ascii="Arial" w:hAnsi="Arial" w:cs="Arial"/>
          <w:sz w:val="18"/>
          <w:szCs w:val="18"/>
        </w:rPr>
      </w:pPr>
    </w:p>
    <w:p w14:paraId="41B54585" w14:textId="77777777" w:rsidR="0089502F" w:rsidRPr="001C6EF5" w:rsidRDefault="0089502F" w:rsidP="00C528BF">
      <w:pPr>
        <w:autoSpaceDE w:val="0"/>
        <w:autoSpaceDN w:val="0"/>
        <w:adjustRightInd w:val="0"/>
        <w:spacing w:after="0"/>
        <w:ind w:left="709" w:hanging="284"/>
        <w:rPr>
          <w:rFonts w:ascii="Arial" w:hAnsi="Arial" w:cs="Arial"/>
          <w:b/>
          <w:bCs/>
          <w:sz w:val="18"/>
          <w:szCs w:val="18"/>
        </w:rPr>
      </w:pPr>
      <w:r w:rsidRPr="001C6EF5">
        <w:rPr>
          <w:rFonts w:ascii="Arial" w:hAnsi="Arial" w:cs="Arial"/>
          <w:b/>
          <w:bCs/>
          <w:sz w:val="18"/>
          <w:szCs w:val="18"/>
        </w:rPr>
        <w:t>Portfolio construction</w:t>
      </w:r>
    </w:p>
    <w:p w14:paraId="6238DFAC" w14:textId="77777777" w:rsidR="0089502F" w:rsidRPr="004B1C4F" w:rsidRDefault="0089502F" w:rsidP="00C528BF">
      <w:pPr>
        <w:pStyle w:val="ListParagraph"/>
        <w:numPr>
          <w:ilvl w:val="0"/>
          <w:numId w:val="7"/>
        </w:numPr>
        <w:ind w:left="709" w:hanging="284"/>
        <w:jc w:val="both"/>
        <w:rPr>
          <w:rFonts w:ascii="Arial" w:hAnsi="Arial" w:cs="Arial"/>
          <w:sz w:val="18"/>
          <w:szCs w:val="18"/>
        </w:rPr>
      </w:pPr>
      <w:r w:rsidRPr="004B1C4F">
        <w:rPr>
          <w:rFonts w:ascii="Arial" w:hAnsi="Arial" w:cs="Arial"/>
          <w:sz w:val="18"/>
          <w:szCs w:val="18"/>
        </w:rPr>
        <w:t>All investors are broadly aligned to the Puma AIM Service model portfolio.</w:t>
      </w:r>
    </w:p>
    <w:p w14:paraId="3AE9B9F4" w14:textId="77777777" w:rsidR="0089502F" w:rsidRPr="004B1C4F" w:rsidRDefault="0089502F" w:rsidP="00C528BF">
      <w:pPr>
        <w:pStyle w:val="ListParagraph"/>
        <w:numPr>
          <w:ilvl w:val="0"/>
          <w:numId w:val="6"/>
        </w:numPr>
        <w:autoSpaceDE w:val="0"/>
        <w:autoSpaceDN w:val="0"/>
        <w:adjustRightInd w:val="0"/>
        <w:spacing w:after="0"/>
        <w:ind w:left="709" w:hanging="284"/>
        <w:rPr>
          <w:rFonts w:ascii="Arial" w:hAnsi="Arial" w:cs="Arial"/>
          <w:sz w:val="18"/>
          <w:szCs w:val="18"/>
        </w:rPr>
      </w:pPr>
      <w:r w:rsidRPr="004B1C4F">
        <w:rPr>
          <w:rFonts w:ascii="Arial" w:hAnsi="Arial" w:cs="Arial"/>
          <w:sz w:val="18"/>
          <w:szCs w:val="18"/>
        </w:rPr>
        <w:t>Fully invested in AIM shares, with only a small cash position (approximately 2-5%).</w:t>
      </w:r>
    </w:p>
    <w:p w14:paraId="338F91C5" w14:textId="77777777" w:rsidR="0089502F" w:rsidRPr="004B1C4F" w:rsidRDefault="0089502F" w:rsidP="00C528BF">
      <w:pPr>
        <w:pStyle w:val="ListParagraph"/>
        <w:numPr>
          <w:ilvl w:val="0"/>
          <w:numId w:val="6"/>
        </w:numPr>
        <w:autoSpaceDE w:val="0"/>
        <w:autoSpaceDN w:val="0"/>
        <w:adjustRightInd w:val="0"/>
        <w:spacing w:after="0"/>
        <w:ind w:left="709" w:hanging="284"/>
        <w:rPr>
          <w:rFonts w:ascii="Arial" w:hAnsi="Arial" w:cs="Arial"/>
          <w:sz w:val="18"/>
          <w:szCs w:val="18"/>
        </w:rPr>
      </w:pPr>
      <w:r w:rsidRPr="004B1C4F">
        <w:rPr>
          <w:rFonts w:ascii="Arial" w:hAnsi="Arial" w:cs="Arial"/>
          <w:sz w:val="18"/>
          <w:szCs w:val="18"/>
        </w:rPr>
        <w:t>Target of approximately 30 to 40 holdings.</w:t>
      </w:r>
    </w:p>
    <w:p w14:paraId="25D7FB06" w14:textId="77777777" w:rsidR="0089502F" w:rsidRPr="004B1C4F" w:rsidRDefault="0089502F" w:rsidP="00C528BF">
      <w:pPr>
        <w:pStyle w:val="ListParagraph"/>
        <w:numPr>
          <w:ilvl w:val="0"/>
          <w:numId w:val="6"/>
        </w:numPr>
        <w:autoSpaceDE w:val="0"/>
        <w:autoSpaceDN w:val="0"/>
        <w:adjustRightInd w:val="0"/>
        <w:spacing w:after="0"/>
        <w:ind w:left="709" w:hanging="284"/>
        <w:rPr>
          <w:rFonts w:ascii="Arial" w:hAnsi="Arial" w:cs="Arial"/>
          <w:sz w:val="18"/>
          <w:szCs w:val="18"/>
        </w:rPr>
      </w:pPr>
      <w:r w:rsidRPr="004B1C4F">
        <w:rPr>
          <w:rFonts w:ascii="Arial" w:hAnsi="Arial" w:cs="Arial"/>
          <w:sz w:val="18"/>
          <w:szCs w:val="18"/>
        </w:rPr>
        <w:t>Average position size is 2%-6%, with no position greater than 10% of the portfolio.</w:t>
      </w:r>
    </w:p>
    <w:p w14:paraId="69C5E174" w14:textId="77777777" w:rsidR="0089502F" w:rsidRPr="004B1C4F" w:rsidRDefault="0089502F" w:rsidP="00C528BF">
      <w:pPr>
        <w:pStyle w:val="ListParagraph"/>
        <w:numPr>
          <w:ilvl w:val="0"/>
          <w:numId w:val="6"/>
        </w:numPr>
        <w:autoSpaceDE w:val="0"/>
        <w:autoSpaceDN w:val="0"/>
        <w:adjustRightInd w:val="0"/>
        <w:spacing w:after="0"/>
        <w:ind w:left="709" w:hanging="284"/>
        <w:rPr>
          <w:rFonts w:ascii="Arial" w:hAnsi="Arial" w:cs="Arial"/>
          <w:sz w:val="18"/>
          <w:szCs w:val="18"/>
        </w:rPr>
      </w:pPr>
      <w:r w:rsidRPr="004B1C4F">
        <w:rPr>
          <w:rFonts w:ascii="Arial" w:hAnsi="Arial" w:cs="Arial"/>
          <w:sz w:val="18"/>
          <w:szCs w:val="18"/>
        </w:rPr>
        <w:t>Low portfolio turnover.</w:t>
      </w:r>
    </w:p>
    <w:p w14:paraId="67671BE5" w14:textId="77777777" w:rsidR="0089502F" w:rsidRPr="004B1C4F" w:rsidRDefault="0089502F" w:rsidP="00C528BF">
      <w:pPr>
        <w:autoSpaceDE w:val="0"/>
        <w:autoSpaceDN w:val="0"/>
        <w:adjustRightInd w:val="0"/>
        <w:spacing w:after="0"/>
        <w:ind w:left="709" w:hanging="284"/>
        <w:rPr>
          <w:rFonts w:ascii="Arial" w:hAnsi="Arial" w:cs="Arial"/>
          <w:sz w:val="18"/>
          <w:szCs w:val="18"/>
        </w:rPr>
      </w:pPr>
    </w:p>
    <w:p w14:paraId="79A60A96" w14:textId="77777777" w:rsidR="0089502F" w:rsidRPr="001C6EF5" w:rsidRDefault="0089502F" w:rsidP="00C528BF">
      <w:pPr>
        <w:autoSpaceDE w:val="0"/>
        <w:autoSpaceDN w:val="0"/>
        <w:adjustRightInd w:val="0"/>
        <w:spacing w:after="0"/>
        <w:ind w:left="709" w:hanging="284"/>
        <w:rPr>
          <w:rFonts w:ascii="Arial" w:hAnsi="Arial" w:cs="Arial"/>
          <w:b/>
          <w:bCs/>
          <w:sz w:val="18"/>
          <w:szCs w:val="18"/>
        </w:rPr>
      </w:pPr>
      <w:r w:rsidRPr="001C6EF5">
        <w:rPr>
          <w:rFonts w:ascii="Arial" w:hAnsi="Arial" w:cs="Arial"/>
          <w:b/>
          <w:bCs/>
          <w:sz w:val="18"/>
          <w:szCs w:val="18"/>
        </w:rPr>
        <w:t>Selling discipline</w:t>
      </w:r>
    </w:p>
    <w:p w14:paraId="71F119FF" w14:textId="77777777" w:rsidR="0089502F" w:rsidRPr="004B1C4F" w:rsidRDefault="0089502F" w:rsidP="00C528BF">
      <w:pPr>
        <w:pStyle w:val="ListParagraph"/>
        <w:numPr>
          <w:ilvl w:val="0"/>
          <w:numId w:val="6"/>
        </w:numPr>
        <w:autoSpaceDE w:val="0"/>
        <w:autoSpaceDN w:val="0"/>
        <w:adjustRightInd w:val="0"/>
        <w:spacing w:after="0"/>
        <w:ind w:left="709" w:hanging="284"/>
        <w:rPr>
          <w:rFonts w:ascii="Arial" w:hAnsi="Arial" w:cs="Arial"/>
          <w:sz w:val="18"/>
          <w:szCs w:val="18"/>
        </w:rPr>
      </w:pPr>
      <w:r w:rsidRPr="004B1C4F">
        <w:rPr>
          <w:rFonts w:ascii="Arial" w:hAnsi="Arial" w:cs="Arial"/>
          <w:sz w:val="18"/>
          <w:szCs w:val="18"/>
        </w:rPr>
        <w:t>The Investment Manager will seek to sell when companies reach their estimate of fair value.</w:t>
      </w:r>
    </w:p>
    <w:p w14:paraId="497F2F11" w14:textId="77777777" w:rsidR="0089502F" w:rsidRPr="004B1C4F" w:rsidRDefault="0089502F" w:rsidP="00C528BF">
      <w:pPr>
        <w:pStyle w:val="ListParagraph"/>
        <w:numPr>
          <w:ilvl w:val="0"/>
          <w:numId w:val="6"/>
        </w:numPr>
        <w:autoSpaceDE w:val="0"/>
        <w:autoSpaceDN w:val="0"/>
        <w:adjustRightInd w:val="0"/>
        <w:spacing w:after="0"/>
        <w:ind w:left="709" w:hanging="284"/>
        <w:rPr>
          <w:rFonts w:ascii="Arial" w:hAnsi="Arial" w:cs="Arial"/>
          <w:sz w:val="18"/>
          <w:szCs w:val="18"/>
        </w:rPr>
      </w:pPr>
      <w:r w:rsidRPr="004B1C4F">
        <w:rPr>
          <w:rFonts w:ascii="Arial" w:hAnsi="Arial" w:cs="Arial"/>
          <w:sz w:val="18"/>
          <w:szCs w:val="18"/>
        </w:rPr>
        <w:t>The Investment Manager will seek to sell if the view on the stock changes, even if this means taking a loss.</w:t>
      </w:r>
    </w:p>
    <w:p w14:paraId="21918B6B" w14:textId="77777777" w:rsidR="00C528BF" w:rsidRPr="00C528BF" w:rsidRDefault="0089502F" w:rsidP="00B72A61">
      <w:pPr>
        <w:pStyle w:val="ListParagraph"/>
        <w:numPr>
          <w:ilvl w:val="0"/>
          <w:numId w:val="6"/>
        </w:numPr>
        <w:autoSpaceDE w:val="0"/>
        <w:autoSpaceDN w:val="0"/>
        <w:adjustRightInd w:val="0"/>
        <w:spacing w:after="0"/>
        <w:ind w:left="851" w:hanging="284"/>
        <w:rPr>
          <w:rFonts w:ascii="Arial" w:hAnsi="Arial" w:cs="Arial"/>
          <w:b/>
          <w:bCs/>
          <w:sz w:val="18"/>
          <w:szCs w:val="18"/>
        </w:rPr>
      </w:pPr>
      <w:r w:rsidRPr="00C528BF">
        <w:rPr>
          <w:rFonts w:ascii="Arial" w:hAnsi="Arial" w:cs="Arial"/>
          <w:sz w:val="18"/>
          <w:szCs w:val="18"/>
        </w:rPr>
        <w:lastRenderedPageBreak/>
        <w:t>Sales will be based on our assessment of fundamentals.</w:t>
      </w:r>
    </w:p>
    <w:p w14:paraId="462CCBDD" w14:textId="77777777" w:rsidR="00297040" w:rsidRDefault="00297040" w:rsidP="00C528BF">
      <w:pPr>
        <w:autoSpaceDE w:val="0"/>
        <w:autoSpaceDN w:val="0"/>
        <w:adjustRightInd w:val="0"/>
        <w:spacing w:after="0"/>
        <w:ind w:left="567"/>
        <w:rPr>
          <w:rFonts w:ascii="Arial" w:hAnsi="Arial" w:cs="Arial"/>
          <w:b/>
          <w:bCs/>
          <w:sz w:val="18"/>
          <w:szCs w:val="18"/>
        </w:rPr>
      </w:pPr>
    </w:p>
    <w:p w14:paraId="4AECCAD4" w14:textId="0B188180" w:rsidR="0089502F" w:rsidRPr="00C528BF" w:rsidRDefault="0089502F" w:rsidP="00C528BF">
      <w:pPr>
        <w:autoSpaceDE w:val="0"/>
        <w:autoSpaceDN w:val="0"/>
        <w:adjustRightInd w:val="0"/>
        <w:spacing w:after="0"/>
        <w:ind w:left="567"/>
        <w:rPr>
          <w:rFonts w:ascii="Arial" w:hAnsi="Arial" w:cs="Arial"/>
          <w:b/>
          <w:bCs/>
          <w:sz w:val="18"/>
          <w:szCs w:val="18"/>
        </w:rPr>
      </w:pPr>
      <w:r w:rsidRPr="00C528BF">
        <w:rPr>
          <w:rFonts w:ascii="Arial" w:hAnsi="Arial" w:cs="Arial"/>
          <w:b/>
          <w:bCs/>
          <w:sz w:val="18"/>
          <w:szCs w:val="18"/>
        </w:rPr>
        <w:t>Excluded stocks</w:t>
      </w:r>
    </w:p>
    <w:p w14:paraId="792DFCBB" w14:textId="77777777" w:rsidR="0089502F" w:rsidRPr="004B1C4F" w:rsidRDefault="0089502F" w:rsidP="00614FCA">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Companies which the Investment Manager believes do not meet the conditions for BR, including those that engage wholly or mainly in dealing in securities, stocks or shares, land or buildings or making or holding investments, and those listed on another Recognised Investment Exchange</w:t>
      </w:r>
    </w:p>
    <w:p w14:paraId="74458A57" w14:textId="77777777" w:rsidR="0089502F" w:rsidRPr="004B1C4F" w:rsidRDefault="0089502F" w:rsidP="00614FCA">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Early-stage companies such as loss-making miners, biotechnology companies and high-growth concept stocks</w:t>
      </w:r>
    </w:p>
    <w:p w14:paraId="2AD927EA" w14:textId="77777777" w:rsidR="0089502F" w:rsidRPr="004B1C4F" w:rsidRDefault="0089502F" w:rsidP="00614FCA">
      <w:pPr>
        <w:pStyle w:val="ListParagraph"/>
        <w:numPr>
          <w:ilvl w:val="0"/>
          <w:numId w:val="6"/>
        </w:numPr>
        <w:autoSpaceDE w:val="0"/>
        <w:autoSpaceDN w:val="0"/>
        <w:adjustRightInd w:val="0"/>
        <w:spacing w:after="0"/>
        <w:ind w:left="851" w:hanging="284"/>
        <w:rPr>
          <w:rFonts w:ascii="Arial" w:hAnsi="Arial" w:cs="Arial"/>
          <w:sz w:val="18"/>
          <w:szCs w:val="18"/>
        </w:rPr>
      </w:pPr>
      <w:r w:rsidRPr="004B1C4F">
        <w:rPr>
          <w:rFonts w:ascii="Arial" w:hAnsi="Arial" w:cs="Arial"/>
          <w:sz w:val="18"/>
          <w:szCs w:val="18"/>
        </w:rPr>
        <w:t>Small and illiquid companies (there are over 300 BR-qualifying AIM companies with a market capitalisation exceeding £50m – these are the Manager’s focus)</w:t>
      </w:r>
    </w:p>
    <w:p w14:paraId="67DCFCAB" w14:textId="77777777" w:rsidR="0089502F" w:rsidRPr="004B1C4F" w:rsidRDefault="0089502F" w:rsidP="0089502F">
      <w:pPr>
        <w:autoSpaceDE w:val="0"/>
        <w:autoSpaceDN w:val="0"/>
        <w:adjustRightInd w:val="0"/>
        <w:spacing w:after="0"/>
        <w:rPr>
          <w:rFonts w:ascii="Arial" w:hAnsi="Arial" w:cs="Arial"/>
          <w:b/>
          <w:sz w:val="18"/>
          <w:szCs w:val="18"/>
        </w:rPr>
      </w:pPr>
    </w:p>
    <w:p w14:paraId="65FE8FC6" w14:textId="77777777" w:rsidR="001C6EF5" w:rsidRDefault="001C6EF5" w:rsidP="0089502F">
      <w:pPr>
        <w:spacing w:after="0"/>
        <w:rPr>
          <w:rFonts w:ascii="Arial" w:hAnsi="Arial" w:cs="Arial"/>
          <w:b/>
          <w:sz w:val="18"/>
          <w:szCs w:val="18"/>
        </w:rPr>
      </w:pPr>
    </w:p>
    <w:p w14:paraId="23D622F6" w14:textId="06437C27" w:rsidR="0089502F" w:rsidRPr="001C6EF5" w:rsidRDefault="0089502F" w:rsidP="0089502F">
      <w:pPr>
        <w:spacing w:after="0"/>
        <w:rPr>
          <w:rFonts w:ascii="Arial" w:hAnsi="Arial" w:cs="Arial"/>
          <w:b/>
          <w:sz w:val="18"/>
          <w:szCs w:val="18"/>
        </w:rPr>
      </w:pPr>
      <w:r w:rsidRPr="001C6EF5">
        <w:rPr>
          <w:rFonts w:ascii="Arial" w:hAnsi="Arial" w:cs="Arial"/>
          <w:b/>
          <w:sz w:val="18"/>
          <w:szCs w:val="18"/>
        </w:rPr>
        <w:t>Liquidity</w:t>
      </w:r>
    </w:p>
    <w:p w14:paraId="6907EDFD" w14:textId="77777777" w:rsidR="0089502F" w:rsidRPr="004B1C4F" w:rsidRDefault="0089502F" w:rsidP="0089502F">
      <w:pPr>
        <w:autoSpaceDE w:val="0"/>
        <w:autoSpaceDN w:val="0"/>
        <w:adjustRightInd w:val="0"/>
        <w:spacing w:after="0"/>
        <w:rPr>
          <w:rFonts w:ascii="Arial" w:hAnsi="Arial" w:cs="Arial"/>
          <w:sz w:val="18"/>
          <w:szCs w:val="18"/>
        </w:rPr>
      </w:pPr>
    </w:p>
    <w:p w14:paraId="7041ECB5" w14:textId="77777777" w:rsidR="0089502F" w:rsidRPr="004B1C4F" w:rsidRDefault="0089502F" w:rsidP="0089502F">
      <w:pPr>
        <w:autoSpaceDE w:val="0"/>
        <w:autoSpaceDN w:val="0"/>
        <w:adjustRightInd w:val="0"/>
        <w:spacing w:after="0"/>
        <w:rPr>
          <w:rFonts w:ascii="Arial" w:hAnsi="Arial" w:cs="Arial"/>
          <w:color w:val="000000" w:themeColor="text1"/>
          <w:sz w:val="18"/>
          <w:szCs w:val="18"/>
        </w:rPr>
      </w:pPr>
      <w:r w:rsidRPr="004B1C4F">
        <w:rPr>
          <w:rFonts w:ascii="Arial" w:hAnsi="Arial" w:cs="Arial"/>
          <w:color w:val="000000" w:themeColor="text1"/>
          <w:sz w:val="18"/>
          <w:szCs w:val="18"/>
        </w:rPr>
        <w:t>A written request can be sent to liquidate all or part of your Portfolio at any time. Subject to deduction of dealing costs and fees, the Manager will endeavour to return the requested amount to you within two weeks. However, as described more fully in the Investor Agreement, it may not be practicable for the Investments to be realised immediately, in which case there may be a delay in completing the withdrawal.  Note that AIM securities are generally considered higher risk and can be illiquid.</w:t>
      </w:r>
    </w:p>
    <w:p w14:paraId="2C22C7E1" w14:textId="77777777" w:rsidR="0089502F" w:rsidRPr="004B1C4F" w:rsidRDefault="0089502F" w:rsidP="0089502F">
      <w:pPr>
        <w:autoSpaceDE w:val="0"/>
        <w:autoSpaceDN w:val="0"/>
        <w:adjustRightInd w:val="0"/>
        <w:spacing w:after="0"/>
        <w:rPr>
          <w:rFonts w:ascii="Arial" w:hAnsi="Arial" w:cs="Arial"/>
          <w:color w:val="000000" w:themeColor="text1"/>
          <w:sz w:val="18"/>
          <w:szCs w:val="18"/>
        </w:rPr>
      </w:pPr>
    </w:p>
    <w:p w14:paraId="4D5ABA69" w14:textId="77777777" w:rsidR="0089502F" w:rsidRPr="004B1C4F" w:rsidRDefault="0089502F" w:rsidP="0089502F">
      <w:pPr>
        <w:autoSpaceDE w:val="0"/>
        <w:autoSpaceDN w:val="0"/>
        <w:adjustRightInd w:val="0"/>
        <w:spacing w:after="0"/>
        <w:rPr>
          <w:rFonts w:ascii="Arial" w:hAnsi="Arial" w:cs="Arial"/>
          <w:color w:val="000000" w:themeColor="text1"/>
          <w:sz w:val="18"/>
          <w:szCs w:val="18"/>
        </w:rPr>
      </w:pPr>
      <w:r w:rsidRPr="004B1C4F">
        <w:rPr>
          <w:rFonts w:ascii="Arial" w:hAnsi="Arial" w:cs="Arial"/>
          <w:color w:val="000000" w:themeColor="text1"/>
          <w:sz w:val="18"/>
          <w:szCs w:val="18"/>
        </w:rPr>
        <w:t>If the withdrawal relates to an ISA portfolio, a transfer request can be arranged to another provider, subject to deduction of dealing costs and fees. If an income is required from your portfolio, you may request that your account is set up to allow for regular withdrawals, subject to liquidity. Puma Investments can facilitate regular withdrawals on a six-monthly basis. These withdrawals can be changed or stopped at any time.</w:t>
      </w:r>
    </w:p>
    <w:p w14:paraId="2CAE2669" w14:textId="77777777" w:rsidR="0089502F" w:rsidRPr="004B1C4F" w:rsidRDefault="0089502F" w:rsidP="0089502F">
      <w:pPr>
        <w:autoSpaceDE w:val="0"/>
        <w:autoSpaceDN w:val="0"/>
        <w:adjustRightInd w:val="0"/>
        <w:spacing w:after="0"/>
        <w:rPr>
          <w:rFonts w:ascii="Arial" w:hAnsi="Arial" w:cs="Arial"/>
          <w:color w:val="000000" w:themeColor="text1"/>
          <w:sz w:val="18"/>
          <w:szCs w:val="18"/>
        </w:rPr>
      </w:pPr>
    </w:p>
    <w:p w14:paraId="300462F0" w14:textId="77777777" w:rsidR="0089502F" w:rsidRPr="004B1C4F" w:rsidRDefault="0089502F" w:rsidP="0089502F">
      <w:pPr>
        <w:autoSpaceDE w:val="0"/>
        <w:autoSpaceDN w:val="0"/>
        <w:adjustRightInd w:val="0"/>
        <w:spacing w:after="0"/>
        <w:rPr>
          <w:rFonts w:ascii="Arial" w:hAnsi="Arial" w:cs="Arial"/>
          <w:color w:val="000000" w:themeColor="text1"/>
          <w:sz w:val="18"/>
          <w:szCs w:val="18"/>
        </w:rPr>
      </w:pPr>
      <w:r w:rsidRPr="004B1C4F">
        <w:rPr>
          <w:rFonts w:ascii="Arial" w:hAnsi="Arial" w:cs="Arial"/>
          <w:color w:val="000000" w:themeColor="text1"/>
          <w:sz w:val="18"/>
          <w:szCs w:val="18"/>
        </w:rPr>
        <w:t xml:space="preserve">If you withdraw money from your </w:t>
      </w:r>
      <w:proofErr w:type="gramStart"/>
      <w:r w:rsidRPr="004B1C4F">
        <w:rPr>
          <w:rFonts w:ascii="Arial" w:hAnsi="Arial" w:cs="Arial"/>
          <w:color w:val="000000" w:themeColor="text1"/>
          <w:sz w:val="18"/>
          <w:szCs w:val="18"/>
        </w:rPr>
        <w:t>portfolio</w:t>
      </w:r>
      <w:proofErr w:type="gramEnd"/>
      <w:r w:rsidRPr="004B1C4F">
        <w:rPr>
          <w:rFonts w:ascii="Arial" w:hAnsi="Arial" w:cs="Arial"/>
          <w:color w:val="000000" w:themeColor="text1"/>
          <w:sz w:val="18"/>
          <w:szCs w:val="18"/>
        </w:rPr>
        <w:t xml:space="preserve"> then any potential Inheritance Tax relief may be lost. In addition, any withdrawals from your ISA will lead to the loss of future capital gains and income tax benefits associated with the ISA. If you want to add money back to your ISA, this is possible only to the extent that you have a remaining ISA allowance for the relevant tax year.</w:t>
      </w:r>
    </w:p>
    <w:p w14:paraId="33544E08" w14:textId="77777777" w:rsidR="0089502F" w:rsidRPr="004B1C4F" w:rsidRDefault="0089502F" w:rsidP="0089502F">
      <w:pPr>
        <w:autoSpaceDE w:val="0"/>
        <w:autoSpaceDN w:val="0"/>
        <w:adjustRightInd w:val="0"/>
        <w:spacing w:after="0"/>
        <w:rPr>
          <w:rFonts w:ascii="Arial" w:hAnsi="Arial" w:cs="Arial"/>
          <w:b/>
          <w:sz w:val="18"/>
          <w:szCs w:val="18"/>
        </w:rPr>
      </w:pPr>
    </w:p>
    <w:p w14:paraId="44424F44" w14:textId="77777777" w:rsidR="0089502F" w:rsidRPr="004B1C4F" w:rsidRDefault="0089502F" w:rsidP="0089502F">
      <w:pPr>
        <w:spacing w:after="0"/>
        <w:rPr>
          <w:rFonts w:ascii="Arial" w:hAnsi="Arial" w:cs="Arial"/>
          <w:b/>
          <w:sz w:val="18"/>
          <w:szCs w:val="18"/>
          <w:u w:val="single"/>
        </w:rPr>
      </w:pPr>
    </w:p>
    <w:p w14:paraId="3EE7ACAF" w14:textId="4F4F39AC" w:rsidR="0089502F" w:rsidRPr="00BE55BF" w:rsidRDefault="0089502F" w:rsidP="0089502F">
      <w:pPr>
        <w:autoSpaceDE w:val="0"/>
        <w:autoSpaceDN w:val="0"/>
        <w:adjustRightInd w:val="0"/>
        <w:spacing w:after="0"/>
        <w:rPr>
          <w:rFonts w:ascii="Arial" w:hAnsi="Arial" w:cs="Arial"/>
          <w:sz w:val="18"/>
          <w:szCs w:val="18"/>
        </w:rPr>
      </w:pPr>
      <w:r w:rsidRPr="001C6EF5">
        <w:rPr>
          <w:rFonts w:ascii="Arial" w:hAnsi="Arial" w:cs="Arial"/>
          <w:b/>
          <w:sz w:val="18"/>
          <w:szCs w:val="18"/>
        </w:rPr>
        <w:t>The Investment Director</w:t>
      </w:r>
    </w:p>
    <w:p w14:paraId="58D88C44" w14:textId="77777777" w:rsidR="0089502F" w:rsidRPr="004B1C4F" w:rsidRDefault="0089502F" w:rsidP="0089502F">
      <w:pPr>
        <w:autoSpaceDE w:val="0"/>
        <w:autoSpaceDN w:val="0"/>
        <w:adjustRightInd w:val="0"/>
        <w:spacing w:after="0"/>
        <w:rPr>
          <w:rFonts w:ascii="Arial" w:hAnsi="Arial" w:cs="Arial"/>
          <w:sz w:val="18"/>
          <w:szCs w:val="18"/>
        </w:rPr>
      </w:pPr>
      <w:r w:rsidRPr="004B1C4F">
        <w:rPr>
          <w:rFonts w:ascii="Arial" w:hAnsi="Arial" w:cs="Arial"/>
          <w:sz w:val="18"/>
          <w:szCs w:val="18"/>
        </w:rPr>
        <w:t xml:space="preserve">Shore Capital has been researching and advising on AIM stocks since 2008 and the Investment Director, Dr Stuart Rollason joined Puma Investments in 2021 to manage the Puma AIM Inheritance Tax Service. Prior to joining Puma Investments, Stuart was a Partner at Kestrel Partners LLP where he led their AIM IHT service for a decade. Prior to Kestrel, Stuart managed a UK smaller company investment trust at Bluehone and £230m of UK smaller company pension assets at ISIS Asset Management. He was formerly an Extel-rated Research Analyst in Medical Technology and Biotech at Beeson Gregory, Panmure Gordon and Nomura, and began his career as a medical doctor practising in the NHS, </w:t>
      </w:r>
    </w:p>
    <w:p w14:paraId="0689EC9D" w14:textId="77777777" w:rsidR="0089502F" w:rsidRPr="004B1C4F" w:rsidRDefault="0089502F" w:rsidP="0089502F">
      <w:pPr>
        <w:autoSpaceDE w:val="0"/>
        <w:autoSpaceDN w:val="0"/>
        <w:adjustRightInd w:val="0"/>
        <w:spacing w:after="0"/>
        <w:rPr>
          <w:rFonts w:ascii="Arial" w:hAnsi="Arial" w:cs="Arial"/>
          <w:sz w:val="18"/>
          <w:szCs w:val="18"/>
        </w:rPr>
      </w:pPr>
    </w:p>
    <w:p w14:paraId="54940410" w14:textId="77777777" w:rsidR="001C6EF5" w:rsidRDefault="001C6EF5" w:rsidP="0089502F">
      <w:pPr>
        <w:autoSpaceDE w:val="0"/>
        <w:autoSpaceDN w:val="0"/>
        <w:adjustRightInd w:val="0"/>
        <w:spacing w:after="0"/>
        <w:rPr>
          <w:rFonts w:ascii="Arial" w:hAnsi="Arial" w:cs="Arial"/>
          <w:b/>
          <w:sz w:val="18"/>
          <w:szCs w:val="18"/>
        </w:rPr>
      </w:pPr>
    </w:p>
    <w:p w14:paraId="744709B1" w14:textId="4EEF7CD0" w:rsidR="0089502F" w:rsidRPr="001C6EF5" w:rsidRDefault="0089502F" w:rsidP="0089502F">
      <w:pPr>
        <w:autoSpaceDE w:val="0"/>
        <w:autoSpaceDN w:val="0"/>
        <w:adjustRightInd w:val="0"/>
        <w:spacing w:after="0"/>
        <w:rPr>
          <w:rFonts w:ascii="Arial" w:hAnsi="Arial" w:cs="Arial"/>
          <w:b/>
          <w:sz w:val="18"/>
          <w:szCs w:val="18"/>
        </w:rPr>
      </w:pPr>
      <w:r w:rsidRPr="001C6EF5">
        <w:rPr>
          <w:rFonts w:ascii="Arial" w:hAnsi="Arial" w:cs="Arial"/>
          <w:b/>
          <w:sz w:val="18"/>
          <w:szCs w:val="18"/>
        </w:rPr>
        <w:t>Platforms</w:t>
      </w:r>
    </w:p>
    <w:p w14:paraId="644BB027" w14:textId="77777777" w:rsidR="0089502F" w:rsidRPr="004B1C4F" w:rsidRDefault="0089502F" w:rsidP="0089502F">
      <w:pPr>
        <w:autoSpaceDE w:val="0"/>
        <w:autoSpaceDN w:val="0"/>
        <w:adjustRightInd w:val="0"/>
        <w:spacing w:after="0"/>
        <w:rPr>
          <w:rFonts w:ascii="Arial" w:hAnsi="Arial" w:cs="Arial"/>
          <w:sz w:val="18"/>
          <w:szCs w:val="18"/>
        </w:rPr>
      </w:pPr>
      <w:r w:rsidRPr="004B1C4F">
        <w:rPr>
          <w:rFonts w:ascii="Arial" w:hAnsi="Arial" w:cs="Arial"/>
          <w:sz w:val="18"/>
          <w:szCs w:val="18"/>
        </w:rPr>
        <w:t xml:space="preserve">Financial advisers can now access the Puma AIM IHT Service through four leading wrap platforms: Fidelity Funds Network, M&amp;G, Standard Life, Transact, Nucleus &amp; Platform One.  </w:t>
      </w:r>
    </w:p>
    <w:p w14:paraId="46B1B4E4" w14:textId="77777777" w:rsidR="0089502F" w:rsidRPr="004B1C4F" w:rsidRDefault="0089502F" w:rsidP="0089502F">
      <w:pPr>
        <w:autoSpaceDE w:val="0"/>
        <w:autoSpaceDN w:val="0"/>
        <w:adjustRightInd w:val="0"/>
        <w:spacing w:after="0" w:line="240" w:lineRule="auto"/>
        <w:jc w:val="both"/>
        <w:rPr>
          <w:rFonts w:ascii="Arial" w:hAnsi="Arial" w:cs="Arial"/>
          <w:b/>
          <w:sz w:val="18"/>
          <w:szCs w:val="18"/>
          <w:u w:val="single"/>
        </w:rPr>
      </w:pPr>
    </w:p>
    <w:p w14:paraId="3E088F39" w14:textId="77777777" w:rsidR="001C6EF5" w:rsidRDefault="001C6EF5" w:rsidP="0089502F">
      <w:pPr>
        <w:autoSpaceDE w:val="0"/>
        <w:autoSpaceDN w:val="0"/>
        <w:adjustRightInd w:val="0"/>
        <w:spacing w:after="0" w:line="240" w:lineRule="auto"/>
        <w:jc w:val="both"/>
        <w:rPr>
          <w:rFonts w:ascii="Arial" w:hAnsi="Arial" w:cs="Arial"/>
          <w:b/>
          <w:sz w:val="18"/>
          <w:szCs w:val="18"/>
        </w:rPr>
      </w:pPr>
    </w:p>
    <w:p w14:paraId="2A7557CF" w14:textId="3DC15C8E" w:rsidR="0089502F" w:rsidRPr="001C6EF5" w:rsidRDefault="0089502F" w:rsidP="0089502F">
      <w:pPr>
        <w:autoSpaceDE w:val="0"/>
        <w:autoSpaceDN w:val="0"/>
        <w:adjustRightInd w:val="0"/>
        <w:spacing w:after="0" w:line="240" w:lineRule="auto"/>
        <w:jc w:val="both"/>
        <w:rPr>
          <w:rFonts w:ascii="Arial" w:hAnsi="Arial" w:cs="Arial"/>
          <w:b/>
          <w:sz w:val="18"/>
          <w:szCs w:val="18"/>
        </w:rPr>
      </w:pPr>
      <w:r w:rsidRPr="001C6EF5">
        <w:rPr>
          <w:rFonts w:ascii="Arial" w:hAnsi="Arial" w:cs="Arial"/>
          <w:b/>
          <w:sz w:val="18"/>
          <w:szCs w:val="18"/>
        </w:rPr>
        <w:t>Valuations</w:t>
      </w:r>
    </w:p>
    <w:p w14:paraId="72B676E3" w14:textId="77777777" w:rsidR="0089502F" w:rsidRPr="004B1C4F" w:rsidRDefault="0089502F" w:rsidP="0089502F">
      <w:pPr>
        <w:autoSpaceDE w:val="0"/>
        <w:autoSpaceDN w:val="0"/>
        <w:adjustRightInd w:val="0"/>
        <w:spacing w:after="0" w:line="240" w:lineRule="auto"/>
        <w:rPr>
          <w:rFonts w:ascii="Arial" w:hAnsi="Arial" w:cs="Arial"/>
          <w:sz w:val="18"/>
          <w:szCs w:val="18"/>
        </w:rPr>
      </w:pPr>
      <w:r w:rsidRPr="004B1C4F">
        <w:rPr>
          <w:rFonts w:ascii="Arial" w:hAnsi="Arial" w:cs="Arial"/>
          <w:sz w:val="18"/>
          <w:szCs w:val="18"/>
        </w:rPr>
        <w:t>The Puma AIM IHT Service will provide valuations on a quarterly basis. In addition, we will provide a quarterly factsheet detailing the performance of the service over that quarter, the structure of the portfolio and providing examples of some of the companies we are investing in.</w:t>
      </w:r>
    </w:p>
    <w:p w14:paraId="5CFBE8BC" w14:textId="77777777" w:rsidR="0089502F" w:rsidRPr="004B1C4F" w:rsidRDefault="0089502F" w:rsidP="0089502F">
      <w:pPr>
        <w:autoSpaceDE w:val="0"/>
        <w:autoSpaceDN w:val="0"/>
        <w:adjustRightInd w:val="0"/>
        <w:spacing w:after="0" w:line="240" w:lineRule="auto"/>
        <w:rPr>
          <w:rFonts w:ascii="Arial" w:hAnsi="Arial" w:cs="Arial"/>
          <w:sz w:val="18"/>
          <w:szCs w:val="18"/>
        </w:rPr>
      </w:pPr>
    </w:p>
    <w:p w14:paraId="70CD729C" w14:textId="77777777" w:rsidR="00614FCA" w:rsidRDefault="00614FCA">
      <w:pPr>
        <w:rPr>
          <w:rFonts w:ascii="Arial" w:hAnsi="Arial" w:cs="Arial"/>
          <w:b/>
          <w:sz w:val="18"/>
          <w:szCs w:val="18"/>
        </w:rPr>
      </w:pPr>
      <w:r>
        <w:rPr>
          <w:rFonts w:ascii="Arial" w:hAnsi="Arial" w:cs="Arial"/>
          <w:b/>
          <w:sz w:val="18"/>
          <w:szCs w:val="18"/>
        </w:rPr>
        <w:br w:type="page"/>
      </w:r>
    </w:p>
    <w:p w14:paraId="471C6151" w14:textId="41EE5F5E" w:rsidR="0089502F" w:rsidRPr="004B1C4F" w:rsidRDefault="0089502F" w:rsidP="0089502F">
      <w:pPr>
        <w:autoSpaceDE w:val="0"/>
        <w:autoSpaceDN w:val="0"/>
        <w:adjustRightInd w:val="0"/>
        <w:spacing w:after="0" w:line="240" w:lineRule="auto"/>
        <w:jc w:val="both"/>
        <w:rPr>
          <w:rFonts w:ascii="Arial" w:hAnsi="Arial" w:cs="Arial"/>
          <w:b/>
          <w:sz w:val="18"/>
          <w:szCs w:val="18"/>
          <w:u w:val="single"/>
        </w:rPr>
      </w:pPr>
      <w:r w:rsidRPr="001C6EF5">
        <w:rPr>
          <w:rFonts w:ascii="Arial" w:hAnsi="Arial" w:cs="Arial"/>
          <w:b/>
          <w:sz w:val="18"/>
          <w:szCs w:val="18"/>
        </w:rPr>
        <w:lastRenderedPageBreak/>
        <w:t>Costs</w:t>
      </w:r>
    </w:p>
    <w:p w14:paraId="26CE4548" w14:textId="77777777" w:rsidR="0089502F" w:rsidRPr="004B1C4F" w:rsidRDefault="0089502F" w:rsidP="0089502F">
      <w:pPr>
        <w:autoSpaceDE w:val="0"/>
        <w:autoSpaceDN w:val="0"/>
        <w:adjustRightInd w:val="0"/>
        <w:spacing w:after="0" w:line="240" w:lineRule="auto"/>
        <w:jc w:val="both"/>
        <w:rPr>
          <w:rFonts w:ascii="Arial" w:hAnsi="Arial" w:cs="Arial"/>
          <w:b/>
          <w:sz w:val="18"/>
          <w:szCs w:val="18"/>
          <w:u w:val="single"/>
        </w:rPr>
      </w:pPr>
    </w:p>
    <w:p w14:paraId="5244A15D" w14:textId="690A7FF9" w:rsidR="0089502F" w:rsidRPr="004B1C4F" w:rsidRDefault="0089502F" w:rsidP="00614FCA">
      <w:pPr>
        <w:autoSpaceDE w:val="0"/>
        <w:autoSpaceDN w:val="0"/>
        <w:adjustRightInd w:val="0"/>
        <w:spacing w:after="0" w:line="240" w:lineRule="auto"/>
        <w:ind w:left="567"/>
        <w:jc w:val="both"/>
        <w:rPr>
          <w:rFonts w:ascii="Arial" w:hAnsi="Arial" w:cs="Arial"/>
          <w:b/>
          <w:sz w:val="18"/>
          <w:szCs w:val="18"/>
        </w:rPr>
      </w:pPr>
      <w:r w:rsidRPr="004B1C4F">
        <w:rPr>
          <w:rFonts w:ascii="Arial" w:hAnsi="Arial" w:cs="Arial"/>
          <w:b/>
          <w:sz w:val="18"/>
          <w:szCs w:val="18"/>
        </w:rPr>
        <w:t>The Puma AIM Service</w:t>
      </w:r>
    </w:p>
    <w:p w14:paraId="2DEF4E32" w14:textId="77777777" w:rsidR="0089502F" w:rsidRPr="004B1C4F" w:rsidRDefault="0089502F" w:rsidP="00614FCA">
      <w:pPr>
        <w:autoSpaceDE w:val="0"/>
        <w:autoSpaceDN w:val="0"/>
        <w:adjustRightInd w:val="0"/>
        <w:spacing w:after="0" w:line="240" w:lineRule="auto"/>
        <w:ind w:left="567"/>
        <w:jc w:val="both"/>
        <w:rPr>
          <w:rFonts w:ascii="Arial" w:hAnsi="Arial" w:cs="Arial"/>
          <w:sz w:val="18"/>
          <w:szCs w:val="18"/>
        </w:rPr>
      </w:pPr>
    </w:p>
    <w:p w14:paraId="50978CBC" w14:textId="77777777" w:rsidR="0089502F" w:rsidRPr="004B1C4F" w:rsidRDefault="0089502F" w:rsidP="00614FCA">
      <w:pPr>
        <w:autoSpaceDE w:val="0"/>
        <w:autoSpaceDN w:val="0"/>
        <w:adjustRightInd w:val="0"/>
        <w:spacing w:after="0" w:line="240" w:lineRule="auto"/>
        <w:ind w:left="567"/>
        <w:jc w:val="both"/>
        <w:rPr>
          <w:rFonts w:ascii="Arial" w:hAnsi="Arial" w:cs="Arial"/>
          <w:sz w:val="18"/>
          <w:szCs w:val="18"/>
        </w:rPr>
      </w:pPr>
      <w:r w:rsidRPr="004B1C4F">
        <w:rPr>
          <w:rFonts w:ascii="Arial" w:hAnsi="Arial" w:cs="Arial"/>
          <w:sz w:val="18"/>
          <w:szCs w:val="18"/>
        </w:rPr>
        <w:t>Direct through an adviser:</w:t>
      </w:r>
    </w:p>
    <w:p w14:paraId="32DD7CAF" w14:textId="77777777" w:rsidR="001C6EF5" w:rsidRDefault="0089502F" w:rsidP="009A46F2">
      <w:pPr>
        <w:pStyle w:val="ListParagraph"/>
        <w:numPr>
          <w:ilvl w:val="0"/>
          <w:numId w:val="7"/>
        </w:numPr>
        <w:ind w:left="851" w:hanging="284"/>
        <w:jc w:val="both"/>
        <w:rPr>
          <w:rFonts w:ascii="Arial" w:hAnsi="Arial" w:cs="Arial"/>
          <w:sz w:val="18"/>
          <w:szCs w:val="18"/>
        </w:rPr>
      </w:pPr>
      <w:r w:rsidRPr="001C6EF5">
        <w:rPr>
          <w:rFonts w:ascii="Arial" w:hAnsi="Arial" w:cs="Arial"/>
          <w:sz w:val="18"/>
          <w:szCs w:val="18"/>
        </w:rPr>
        <w:t>Initial Fee (not subject to VAT): 1% (of amount subscribed)</w:t>
      </w:r>
    </w:p>
    <w:p w14:paraId="30CA871B" w14:textId="25AAF9D9" w:rsidR="001C6EF5" w:rsidRPr="001C6EF5" w:rsidRDefault="0089502F" w:rsidP="009A46F2">
      <w:pPr>
        <w:pStyle w:val="ListParagraph"/>
        <w:numPr>
          <w:ilvl w:val="0"/>
          <w:numId w:val="7"/>
        </w:numPr>
        <w:ind w:left="851" w:hanging="284"/>
        <w:jc w:val="both"/>
        <w:rPr>
          <w:rFonts w:ascii="Arial" w:hAnsi="Arial" w:cs="Arial"/>
          <w:sz w:val="18"/>
          <w:szCs w:val="18"/>
        </w:rPr>
      </w:pPr>
      <w:r w:rsidRPr="001C6EF5">
        <w:rPr>
          <w:rFonts w:ascii="Arial" w:hAnsi="Arial" w:cs="Arial"/>
          <w:sz w:val="18"/>
          <w:szCs w:val="18"/>
        </w:rPr>
        <w:t>Annual Management Fee: 1</w:t>
      </w:r>
      <w:r w:rsidR="00C02058">
        <w:rPr>
          <w:rFonts w:ascii="Arial" w:hAnsi="Arial" w:cs="Arial"/>
          <w:sz w:val="18"/>
          <w:szCs w:val="18"/>
        </w:rPr>
        <w:t xml:space="preserve">.5% </w:t>
      </w:r>
      <w:r w:rsidR="00D4462F">
        <w:rPr>
          <w:rFonts w:ascii="Arial" w:hAnsi="Arial" w:cs="Arial"/>
          <w:sz w:val="18"/>
          <w:szCs w:val="18"/>
        </w:rPr>
        <w:t>incl. VAT</w:t>
      </w:r>
      <w:r w:rsidRPr="001C6EF5">
        <w:rPr>
          <w:rFonts w:ascii="Arial" w:hAnsi="Arial" w:cs="Arial"/>
          <w:sz w:val="18"/>
          <w:szCs w:val="18"/>
        </w:rPr>
        <w:t xml:space="preserve"> (of portfolio value)</w:t>
      </w:r>
    </w:p>
    <w:p w14:paraId="278C4F98" w14:textId="1CAA88C9" w:rsidR="0089502F" w:rsidRPr="001C6EF5" w:rsidRDefault="0089502F" w:rsidP="009A46F2">
      <w:pPr>
        <w:pStyle w:val="ListParagraph"/>
        <w:numPr>
          <w:ilvl w:val="0"/>
          <w:numId w:val="7"/>
        </w:numPr>
        <w:ind w:left="851" w:hanging="284"/>
        <w:jc w:val="both"/>
        <w:rPr>
          <w:rFonts w:ascii="Arial" w:hAnsi="Arial" w:cs="Arial"/>
          <w:sz w:val="18"/>
          <w:szCs w:val="18"/>
        </w:rPr>
      </w:pPr>
      <w:r w:rsidRPr="001C6EF5">
        <w:rPr>
          <w:rFonts w:ascii="Arial" w:hAnsi="Arial" w:cs="Arial"/>
          <w:sz w:val="18"/>
          <w:szCs w:val="18"/>
        </w:rPr>
        <w:t>Dealing Fee (not subject to VAT): 1% on each purchase and sale of AIM shares within the portfolio</w:t>
      </w:r>
    </w:p>
    <w:p w14:paraId="4CD63CAE" w14:textId="77777777" w:rsidR="0089502F" w:rsidRPr="004B1C4F" w:rsidRDefault="0089502F" w:rsidP="00614FCA">
      <w:pPr>
        <w:autoSpaceDE w:val="0"/>
        <w:autoSpaceDN w:val="0"/>
        <w:adjustRightInd w:val="0"/>
        <w:spacing w:after="0" w:line="240" w:lineRule="auto"/>
        <w:ind w:left="567"/>
        <w:jc w:val="both"/>
        <w:rPr>
          <w:rFonts w:ascii="Arial" w:hAnsi="Arial" w:cs="Arial"/>
          <w:sz w:val="18"/>
          <w:szCs w:val="18"/>
        </w:rPr>
      </w:pPr>
    </w:p>
    <w:p w14:paraId="51E2BD78" w14:textId="77777777" w:rsidR="0089502F" w:rsidRPr="004B1C4F" w:rsidRDefault="0089502F" w:rsidP="00614FCA">
      <w:pPr>
        <w:autoSpaceDE w:val="0"/>
        <w:autoSpaceDN w:val="0"/>
        <w:adjustRightInd w:val="0"/>
        <w:spacing w:after="0" w:line="240" w:lineRule="auto"/>
        <w:ind w:left="567"/>
        <w:jc w:val="both"/>
        <w:rPr>
          <w:rFonts w:ascii="Arial" w:hAnsi="Arial" w:cs="Arial"/>
          <w:sz w:val="18"/>
          <w:szCs w:val="18"/>
        </w:rPr>
      </w:pPr>
      <w:r w:rsidRPr="004B1C4F">
        <w:rPr>
          <w:rFonts w:ascii="Arial" w:hAnsi="Arial" w:cs="Arial"/>
          <w:sz w:val="18"/>
          <w:szCs w:val="18"/>
        </w:rPr>
        <w:t>Platform:</w:t>
      </w:r>
    </w:p>
    <w:p w14:paraId="028B91C5" w14:textId="5B38272E" w:rsidR="0089502F" w:rsidRPr="001C6EF5" w:rsidRDefault="0089502F" w:rsidP="009A46F2">
      <w:pPr>
        <w:pStyle w:val="ListParagraph"/>
        <w:numPr>
          <w:ilvl w:val="0"/>
          <w:numId w:val="7"/>
        </w:numPr>
        <w:ind w:left="851" w:hanging="284"/>
        <w:jc w:val="both"/>
        <w:rPr>
          <w:rFonts w:ascii="Arial" w:hAnsi="Arial" w:cs="Arial"/>
          <w:sz w:val="18"/>
          <w:szCs w:val="18"/>
        </w:rPr>
      </w:pPr>
      <w:r w:rsidRPr="001C6EF5">
        <w:rPr>
          <w:rFonts w:ascii="Arial" w:hAnsi="Arial" w:cs="Arial"/>
          <w:sz w:val="18"/>
          <w:szCs w:val="18"/>
        </w:rPr>
        <w:t>Initial Fee: 0%</w:t>
      </w:r>
    </w:p>
    <w:p w14:paraId="3F63D8A1" w14:textId="2B3FBACC" w:rsidR="0089502F" w:rsidRPr="001C6EF5" w:rsidRDefault="0089502F" w:rsidP="009A46F2">
      <w:pPr>
        <w:pStyle w:val="ListParagraph"/>
        <w:numPr>
          <w:ilvl w:val="0"/>
          <w:numId w:val="7"/>
        </w:numPr>
        <w:ind w:left="851" w:hanging="284"/>
        <w:jc w:val="both"/>
        <w:rPr>
          <w:rFonts w:ascii="Arial" w:hAnsi="Arial" w:cs="Arial"/>
          <w:sz w:val="18"/>
          <w:szCs w:val="18"/>
        </w:rPr>
      </w:pPr>
      <w:r w:rsidRPr="001C6EF5">
        <w:rPr>
          <w:rFonts w:ascii="Arial" w:hAnsi="Arial" w:cs="Arial"/>
          <w:sz w:val="18"/>
          <w:szCs w:val="18"/>
        </w:rPr>
        <w:t>Annual Management Fee: 1</w:t>
      </w:r>
      <w:r w:rsidR="00756EB0">
        <w:rPr>
          <w:rFonts w:ascii="Arial" w:hAnsi="Arial" w:cs="Arial"/>
          <w:sz w:val="18"/>
          <w:szCs w:val="18"/>
        </w:rPr>
        <w:t>.5% incl. VAT</w:t>
      </w:r>
      <w:r w:rsidRPr="001C6EF5">
        <w:rPr>
          <w:rFonts w:ascii="Arial" w:hAnsi="Arial" w:cs="Arial"/>
          <w:sz w:val="18"/>
          <w:szCs w:val="18"/>
        </w:rPr>
        <w:t xml:space="preserve"> (of portfolio value)</w:t>
      </w:r>
    </w:p>
    <w:p w14:paraId="747A7CD1" w14:textId="0D4C6D6C" w:rsidR="0089502F" w:rsidRPr="001C6EF5" w:rsidRDefault="0089502F" w:rsidP="009A46F2">
      <w:pPr>
        <w:pStyle w:val="ListParagraph"/>
        <w:numPr>
          <w:ilvl w:val="0"/>
          <w:numId w:val="7"/>
        </w:numPr>
        <w:ind w:left="851" w:hanging="284"/>
        <w:jc w:val="both"/>
        <w:rPr>
          <w:rFonts w:ascii="Arial" w:hAnsi="Arial" w:cs="Arial"/>
          <w:sz w:val="18"/>
          <w:szCs w:val="18"/>
        </w:rPr>
      </w:pPr>
      <w:r w:rsidRPr="001C6EF5">
        <w:rPr>
          <w:rFonts w:ascii="Arial" w:hAnsi="Arial" w:cs="Arial"/>
          <w:sz w:val="18"/>
          <w:szCs w:val="18"/>
        </w:rPr>
        <w:t>Dealing Fee: Platform and dealing fees may vary across platforms</w:t>
      </w:r>
    </w:p>
    <w:p w14:paraId="7300B5E4" w14:textId="77777777" w:rsidR="0089502F" w:rsidRPr="004B1C4F" w:rsidRDefault="0089502F" w:rsidP="009A46F2">
      <w:pPr>
        <w:autoSpaceDE w:val="0"/>
        <w:autoSpaceDN w:val="0"/>
        <w:adjustRightInd w:val="0"/>
        <w:spacing w:after="0" w:line="240" w:lineRule="auto"/>
        <w:jc w:val="both"/>
        <w:rPr>
          <w:rFonts w:ascii="Arial" w:hAnsi="Arial" w:cs="Arial"/>
          <w:sz w:val="18"/>
          <w:szCs w:val="18"/>
        </w:rPr>
      </w:pPr>
    </w:p>
    <w:p w14:paraId="7D4ECFEE" w14:textId="77777777" w:rsidR="0089502F" w:rsidRPr="004B1C4F" w:rsidRDefault="0089502F" w:rsidP="00614FCA">
      <w:pPr>
        <w:autoSpaceDE w:val="0"/>
        <w:autoSpaceDN w:val="0"/>
        <w:adjustRightInd w:val="0"/>
        <w:spacing w:after="0" w:line="240" w:lineRule="auto"/>
        <w:ind w:left="567"/>
        <w:jc w:val="both"/>
        <w:rPr>
          <w:rFonts w:ascii="Arial" w:hAnsi="Arial" w:cs="Arial"/>
          <w:b/>
          <w:sz w:val="18"/>
          <w:szCs w:val="18"/>
        </w:rPr>
      </w:pPr>
      <w:r w:rsidRPr="004B1C4F">
        <w:rPr>
          <w:rFonts w:ascii="Arial" w:hAnsi="Arial" w:cs="Arial"/>
          <w:b/>
          <w:sz w:val="18"/>
          <w:szCs w:val="18"/>
        </w:rPr>
        <w:t>The Puma AIM ISA Service:</w:t>
      </w:r>
    </w:p>
    <w:p w14:paraId="538BD113" w14:textId="77777777" w:rsidR="0089502F" w:rsidRPr="004B1C4F" w:rsidRDefault="0089502F" w:rsidP="00614FCA">
      <w:pPr>
        <w:autoSpaceDE w:val="0"/>
        <w:autoSpaceDN w:val="0"/>
        <w:adjustRightInd w:val="0"/>
        <w:spacing w:after="0" w:line="240" w:lineRule="auto"/>
        <w:ind w:left="567"/>
        <w:jc w:val="both"/>
        <w:rPr>
          <w:rFonts w:ascii="Arial" w:hAnsi="Arial" w:cs="Arial"/>
          <w:sz w:val="18"/>
          <w:szCs w:val="18"/>
        </w:rPr>
      </w:pPr>
    </w:p>
    <w:p w14:paraId="35E0AA3B" w14:textId="77777777" w:rsidR="0089502F" w:rsidRPr="004B1C4F" w:rsidRDefault="0089502F" w:rsidP="00614FCA">
      <w:pPr>
        <w:autoSpaceDE w:val="0"/>
        <w:autoSpaceDN w:val="0"/>
        <w:adjustRightInd w:val="0"/>
        <w:spacing w:after="0" w:line="240" w:lineRule="auto"/>
        <w:ind w:left="567"/>
        <w:jc w:val="both"/>
        <w:rPr>
          <w:rFonts w:ascii="Arial" w:hAnsi="Arial" w:cs="Arial"/>
          <w:sz w:val="18"/>
          <w:szCs w:val="18"/>
        </w:rPr>
      </w:pPr>
      <w:r w:rsidRPr="004B1C4F">
        <w:rPr>
          <w:rFonts w:ascii="Arial" w:hAnsi="Arial" w:cs="Arial"/>
          <w:sz w:val="18"/>
          <w:szCs w:val="18"/>
        </w:rPr>
        <w:t>Direct through an adviser:</w:t>
      </w:r>
    </w:p>
    <w:p w14:paraId="06EF7B98" w14:textId="296B8D24" w:rsidR="0089502F" w:rsidRPr="004B1C4F" w:rsidRDefault="0089502F" w:rsidP="009A46F2">
      <w:pPr>
        <w:pStyle w:val="ListParagraph"/>
        <w:numPr>
          <w:ilvl w:val="0"/>
          <w:numId w:val="7"/>
        </w:numPr>
        <w:ind w:left="851" w:hanging="284"/>
        <w:jc w:val="both"/>
        <w:rPr>
          <w:rFonts w:ascii="Arial" w:hAnsi="Arial" w:cs="Arial"/>
          <w:sz w:val="18"/>
          <w:szCs w:val="18"/>
        </w:rPr>
      </w:pPr>
      <w:r w:rsidRPr="004B1C4F">
        <w:rPr>
          <w:rFonts w:ascii="Arial" w:hAnsi="Arial" w:cs="Arial"/>
          <w:sz w:val="18"/>
          <w:szCs w:val="18"/>
        </w:rPr>
        <w:t xml:space="preserve">Initial Fee: 0% </w:t>
      </w:r>
    </w:p>
    <w:p w14:paraId="2C6527BF" w14:textId="46EDEA18" w:rsidR="0089502F" w:rsidRPr="004B1C4F" w:rsidRDefault="0089502F" w:rsidP="009A46F2">
      <w:pPr>
        <w:pStyle w:val="ListParagraph"/>
        <w:numPr>
          <w:ilvl w:val="0"/>
          <w:numId w:val="7"/>
        </w:numPr>
        <w:ind w:left="851" w:hanging="284"/>
        <w:jc w:val="both"/>
        <w:rPr>
          <w:rFonts w:ascii="Arial" w:hAnsi="Arial" w:cs="Arial"/>
          <w:sz w:val="18"/>
          <w:szCs w:val="18"/>
        </w:rPr>
      </w:pPr>
      <w:r w:rsidRPr="004B1C4F">
        <w:rPr>
          <w:rFonts w:ascii="Arial" w:hAnsi="Arial" w:cs="Arial"/>
          <w:sz w:val="18"/>
          <w:szCs w:val="18"/>
        </w:rPr>
        <w:t>Annual Management Fee: 1</w:t>
      </w:r>
      <w:r w:rsidR="00756EB0">
        <w:rPr>
          <w:rFonts w:ascii="Arial" w:hAnsi="Arial" w:cs="Arial"/>
          <w:sz w:val="18"/>
          <w:szCs w:val="18"/>
        </w:rPr>
        <w:t>.5% incl. VAT</w:t>
      </w:r>
      <w:r w:rsidRPr="004B1C4F">
        <w:rPr>
          <w:rFonts w:ascii="Arial" w:hAnsi="Arial" w:cs="Arial"/>
          <w:sz w:val="18"/>
          <w:szCs w:val="18"/>
        </w:rPr>
        <w:t xml:space="preserve"> (of portfolio value)</w:t>
      </w:r>
    </w:p>
    <w:p w14:paraId="3FB2A6B3" w14:textId="15FAE98D" w:rsidR="0089502F" w:rsidRPr="004B1C4F" w:rsidRDefault="0089502F" w:rsidP="009A46F2">
      <w:pPr>
        <w:pStyle w:val="ListParagraph"/>
        <w:numPr>
          <w:ilvl w:val="0"/>
          <w:numId w:val="7"/>
        </w:numPr>
        <w:ind w:left="851" w:hanging="284"/>
        <w:jc w:val="both"/>
        <w:rPr>
          <w:rFonts w:ascii="Arial" w:hAnsi="Arial" w:cs="Arial"/>
          <w:sz w:val="18"/>
          <w:szCs w:val="18"/>
        </w:rPr>
      </w:pPr>
      <w:r w:rsidRPr="004B1C4F">
        <w:rPr>
          <w:rFonts w:ascii="Arial" w:hAnsi="Arial" w:cs="Arial"/>
          <w:sz w:val="18"/>
          <w:szCs w:val="18"/>
        </w:rPr>
        <w:t>Dealing Fee (not subject to VAT): 1% on each purchase and sale of AIM shares within the portfolio</w:t>
      </w:r>
    </w:p>
    <w:p w14:paraId="43B1F279" w14:textId="77777777" w:rsidR="0089502F" w:rsidRPr="004B1C4F" w:rsidRDefault="0089502F" w:rsidP="00614FCA">
      <w:pPr>
        <w:autoSpaceDE w:val="0"/>
        <w:autoSpaceDN w:val="0"/>
        <w:adjustRightInd w:val="0"/>
        <w:spacing w:after="0" w:line="240" w:lineRule="auto"/>
        <w:ind w:left="567"/>
        <w:jc w:val="both"/>
        <w:rPr>
          <w:rFonts w:ascii="Arial" w:hAnsi="Arial" w:cs="Arial"/>
          <w:sz w:val="18"/>
          <w:szCs w:val="18"/>
        </w:rPr>
      </w:pPr>
    </w:p>
    <w:p w14:paraId="1CAFF6CF" w14:textId="77777777" w:rsidR="0089502F" w:rsidRPr="004B1C4F" w:rsidRDefault="0089502F" w:rsidP="00614FCA">
      <w:pPr>
        <w:autoSpaceDE w:val="0"/>
        <w:autoSpaceDN w:val="0"/>
        <w:adjustRightInd w:val="0"/>
        <w:spacing w:after="0" w:line="240" w:lineRule="auto"/>
        <w:ind w:left="567"/>
        <w:jc w:val="both"/>
        <w:rPr>
          <w:rFonts w:ascii="Arial" w:hAnsi="Arial" w:cs="Arial"/>
          <w:sz w:val="18"/>
          <w:szCs w:val="18"/>
        </w:rPr>
      </w:pPr>
      <w:r w:rsidRPr="004B1C4F">
        <w:rPr>
          <w:rFonts w:ascii="Arial" w:hAnsi="Arial" w:cs="Arial"/>
          <w:sz w:val="18"/>
          <w:szCs w:val="18"/>
        </w:rPr>
        <w:t>Platform:</w:t>
      </w:r>
    </w:p>
    <w:p w14:paraId="259C176D" w14:textId="567ED0B4" w:rsidR="0089502F" w:rsidRPr="004B1C4F" w:rsidRDefault="0089502F" w:rsidP="009A46F2">
      <w:pPr>
        <w:pStyle w:val="ListParagraph"/>
        <w:numPr>
          <w:ilvl w:val="0"/>
          <w:numId w:val="7"/>
        </w:numPr>
        <w:ind w:left="851" w:hanging="284"/>
        <w:jc w:val="both"/>
        <w:rPr>
          <w:rFonts w:ascii="Arial" w:hAnsi="Arial" w:cs="Arial"/>
          <w:sz w:val="18"/>
          <w:szCs w:val="18"/>
        </w:rPr>
      </w:pPr>
      <w:r w:rsidRPr="004B1C4F">
        <w:rPr>
          <w:rFonts w:ascii="Arial" w:hAnsi="Arial" w:cs="Arial"/>
          <w:sz w:val="18"/>
          <w:szCs w:val="18"/>
        </w:rPr>
        <w:t>Initial Fee: 0%</w:t>
      </w:r>
    </w:p>
    <w:p w14:paraId="703B7B39" w14:textId="4B96BAA4" w:rsidR="0089502F" w:rsidRPr="004B1C4F" w:rsidRDefault="0089502F" w:rsidP="009A46F2">
      <w:pPr>
        <w:pStyle w:val="ListParagraph"/>
        <w:numPr>
          <w:ilvl w:val="0"/>
          <w:numId w:val="7"/>
        </w:numPr>
        <w:ind w:left="851" w:hanging="284"/>
        <w:jc w:val="both"/>
        <w:rPr>
          <w:rFonts w:ascii="Arial" w:hAnsi="Arial" w:cs="Arial"/>
          <w:sz w:val="18"/>
          <w:szCs w:val="18"/>
        </w:rPr>
      </w:pPr>
      <w:r w:rsidRPr="004B1C4F">
        <w:rPr>
          <w:rFonts w:ascii="Arial" w:hAnsi="Arial" w:cs="Arial"/>
          <w:sz w:val="18"/>
          <w:szCs w:val="18"/>
        </w:rPr>
        <w:t>Annual Management Fee: 1</w:t>
      </w:r>
      <w:r w:rsidR="00756EB0">
        <w:rPr>
          <w:rFonts w:ascii="Arial" w:hAnsi="Arial" w:cs="Arial"/>
          <w:sz w:val="18"/>
          <w:szCs w:val="18"/>
        </w:rPr>
        <w:t>.5% incl. VAT</w:t>
      </w:r>
      <w:r w:rsidR="00756EB0" w:rsidRPr="004B1C4F" w:rsidDel="00756EB0">
        <w:rPr>
          <w:rFonts w:ascii="Arial" w:hAnsi="Arial" w:cs="Arial"/>
          <w:sz w:val="18"/>
          <w:szCs w:val="18"/>
        </w:rPr>
        <w:t xml:space="preserve"> </w:t>
      </w:r>
      <w:r w:rsidRPr="004B1C4F">
        <w:rPr>
          <w:rFonts w:ascii="Arial" w:hAnsi="Arial" w:cs="Arial"/>
          <w:sz w:val="18"/>
          <w:szCs w:val="18"/>
        </w:rPr>
        <w:t>(of portfolio value)</w:t>
      </w:r>
    </w:p>
    <w:p w14:paraId="34F3369D" w14:textId="0EFCED11" w:rsidR="0089502F" w:rsidRPr="004B1C4F" w:rsidRDefault="0089502F" w:rsidP="009A46F2">
      <w:pPr>
        <w:pStyle w:val="ListParagraph"/>
        <w:numPr>
          <w:ilvl w:val="0"/>
          <w:numId w:val="7"/>
        </w:numPr>
        <w:ind w:left="851" w:hanging="284"/>
        <w:jc w:val="both"/>
        <w:rPr>
          <w:rFonts w:ascii="Arial" w:hAnsi="Arial" w:cs="Arial"/>
          <w:sz w:val="18"/>
          <w:szCs w:val="18"/>
        </w:rPr>
      </w:pPr>
      <w:r w:rsidRPr="004B1C4F">
        <w:rPr>
          <w:rFonts w:ascii="Arial" w:hAnsi="Arial" w:cs="Arial"/>
          <w:sz w:val="18"/>
          <w:szCs w:val="18"/>
        </w:rPr>
        <w:t>Dealing Fee: Platform and dealing fees may vary across platforms</w:t>
      </w:r>
    </w:p>
    <w:p w14:paraId="7182F714" w14:textId="77777777" w:rsidR="0089502F" w:rsidRPr="00297040" w:rsidRDefault="0089502F" w:rsidP="0089502F">
      <w:pPr>
        <w:spacing w:after="0"/>
        <w:rPr>
          <w:rFonts w:ascii="Arial" w:hAnsi="Arial" w:cs="Arial"/>
          <w:b/>
          <w:bCs/>
          <w:color w:val="1D1D1B"/>
          <w:sz w:val="18"/>
          <w:szCs w:val="18"/>
        </w:rPr>
      </w:pPr>
    </w:p>
    <w:p w14:paraId="484DB67F" w14:textId="55043969" w:rsidR="0089502F" w:rsidRPr="00297040" w:rsidRDefault="0089502F" w:rsidP="0089502F">
      <w:pPr>
        <w:spacing w:after="0"/>
        <w:rPr>
          <w:rFonts w:ascii="Arial" w:hAnsi="Arial" w:cs="Arial"/>
          <w:b/>
          <w:bCs/>
          <w:color w:val="1D1D1B"/>
          <w:sz w:val="18"/>
          <w:szCs w:val="18"/>
        </w:rPr>
      </w:pPr>
      <w:r w:rsidRPr="00297040">
        <w:rPr>
          <w:rFonts w:ascii="Arial" w:hAnsi="Arial" w:cs="Arial"/>
          <w:b/>
          <w:bCs/>
          <w:color w:val="1D1D1B"/>
          <w:sz w:val="18"/>
          <w:szCs w:val="18"/>
        </w:rPr>
        <w:t xml:space="preserve">Risk </w:t>
      </w:r>
      <w:r w:rsidR="001C6EF5" w:rsidRPr="00297040">
        <w:rPr>
          <w:rFonts w:ascii="Arial" w:hAnsi="Arial" w:cs="Arial"/>
          <w:b/>
          <w:bCs/>
          <w:color w:val="1D1D1B"/>
          <w:sz w:val="18"/>
          <w:szCs w:val="18"/>
        </w:rPr>
        <w:t>warnings</w:t>
      </w:r>
    </w:p>
    <w:p w14:paraId="685F0645" w14:textId="77777777" w:rsidR="0089502F" w:rsidRPr="004B1C4F" w:rsidRDefault="0089502F" w:rsidP="0089502F">
      <w:pPr>
        <w:autoSpaceDE w:val="0"/>
        <w:autoSpaceDN w:val="0"/>
        <w:adjustRightInd w:val="0"/>
        <w:spacing w:after="0"/>
        <w:rPr>
          <w:rFonts w:ascii="Arial" w:hAnsi="Arial" w:cs="Arial"/>
          <w:sz w:val="18"/>
          <w:szCs w:val="18"/>
        </w:rPr>
      </w:pPr>
    </w:p>
    <w:p w14:paraId="208060A2" w14:textId="77777777" w:rsidR="0089502F" w:rsidRPr="004B1C4F" w:rsidRDefault="0089502F" w:rsidP="0089502F">
      <w:pPr>
        <w:autoSpaceDE w:val="0"/>
        <w:autoSpaceDN w:val="0"/>
        <w:adjustRightInd w:val="0"/>
        <w:spacing w:after="0"/>
        <w:rPr>
          <w:rFonts w:ascii="Arial" w:hAnsi="Arial" w:cs="Arial"/>
          <w:sz w:val="18"/>
          <w:szCs w:val="18"/>
        </w:rPr>
      </w:pPr>
      <w:r w:rsidRPr="004B1C4F">
        <w:rPr>
          <w:rFonts w:ascii="Arial" w:hAnsi="Arial" w:cs="Arial"/>
          <w:sz w:val="18"/>
          <w:szCs w:val="18"/>
        </w:rPr>
        <w:t>An investment in the Service carries risk and may not be suitable for all Investors:</w:t>
      </w:r>
    </w:p>
    <w:p w14:paraId="7807D8FA" w14:textId="77777777" w:rsidR="0089502F" w:rsidRPr="004B1C4F" w:rsidRDefault="0089502F" w:rsidP="0089502F">
      <w:pPr>
        <w:autoSpaceDE w:val="0"/>
        <w:autoSpaceDN w:val="0"/>
        <w:adjustRightInd w:val="0"/>
        <w:spacing w:after="0"/>
        <w:rPr>
          <w:rFonts w:ascii="Arial" w:hAnsi="Arial" w:cs="Arial"/>
          <w:sz w:val="18"/>
          <w:szCs w:val="18"/>
        </w:rPr>
      </w:pPr>
    </w:p>
    <w:p w14:paraId="601BDC84" w14:textId="77777777" w:rsidR="0089502F" w:rsidRPr="004B1C4F" w:rsidRDefault="0089502F" w:rsidP="00614FCA">
      <w:pPr>
        <w:autoSpaceDE w:val="0"/>
        <w:autoSpaceDN w:val="0"/>
        <w:adjustRightInd w:val="0"/>
        <w:spacing w:after="0"/>
        <w:ind w:left="567"/>
        <w:rPr>
          <w:rFonts w:ascii="Arial" w:hAnsi="Arial" w:cs="Arial"/>
          <w:sz w:val="18"/>
          <w:szCs w:val="18"/>
        </w:rPr>
      </w:pPr>
      <w:r w:rsidRPr="004B1C4F">
        <w:rPr>
          <w:rFonts w:ascii="Arial" w:hAnsi="Arial" w:cs="Arial"/>
          <w:b/>
          <w:sz w:val="18"/>
          <w:szCs w:val="18"/>
        </w:rPr>
        <w:t>Past Performance:</w:t>
      </w:r>
      <w:r w:rsidRPr="004B1C4F">
        <w:rPr>
          <w:rFonts w:ascii="Arial" w:hAnsi="Arial" w:cs="Arial"/>
          <w:sz w:val="18"/>
          <w:szCs w:val="18"/>
        </w:rPr>
        <w:t xml:space="preserve"> Past performance is no indication of future results and share prices and their values can go down as well as up.</w:t>
      </w:r>
    </w:p>
    <w:p w14:paraId="27E78ACC" w14:textId="77777777" w:rsidR="0089502F" w:rsidRPr="004B1C4F" w:rsidRDefault="0089502F" w:rsidP="00614FCA">
      <w:pPr>
        <w:autoSpaceDE w:val="0"/>
        <w:autoSpaceDN w:val="0"/>
        <w:adjustRightInd w:val="0"/>
        <w:spacing w:after="0"/>
        <w:ind w:left="567"/>
        <w:rPr>
          <w:rFonts w:ascii="Arial" w:hAnsi="Arial" w:cs="Arial"/>
          <w:sz w:val="18"/>
          <w:szCs w:val="18"/>
        </w:rPr>
      </w:pPr>
    </w:p>
    <w:p w14:paraId="78C47B96" w14:textId="77777777" w:rsidR="0089502F" w:rsidRPr="004B1C4F" w:rsidRDefault="0089502F" w:rsidP="00614FCA">
      <w:pPr>
        <w:autoSpaceDE w:val="0"/>
        <w:autoSpaceDN w:val="0"/>
        <w:adjustRightInd w:val="0"/>
        <w:spacing w:after="0"/>
        <w:ind w:left="567"/>
        <w:rPr>
          <w:rFonts w:ascii="Arial" w:hAnsi="Arial" w:cs="Arial"/>
          <w:sz w:val="18"/>
          <w:szCs w:val="18"/>
        </w:rPr>
      </w:pPr>
      <w:r w:rsidRPr="004B1C4F">
        <w:rPr>
          <w:rFonts w:ascii="Arial" w:hAnsi="Arial" w:cs="Arial"/>
          <w:b/>
          <w:sz w:val="18"/>
          <w:szCs w:val="18"/>
        </w:rPr>
        <w:t xml:space="preserve">Tax Reliefs are not Guaranteed: </w:t>
      </w:r>
      <w:r w:rsidRPr="004B1C4F">
        <w:rPr>
          <w:rFonts w:ascii="Arial" w:hAnsi="Arial" w:cs="Arial"/>
          <w:sz w:val="18"/>
          <w:szCs w:val="18"/>
        </w:rPr>
        <w:t>Tax reliefs depend on individuals’ personal circumstances, minimum holding periods and may be subject to change.</w:t>
      </w:r>
    </w:p>
    <w:p w14:paraId="24C634A3" w14:textId="77777777" w:rsidR="0089502F" w:rsidRPr="004B1C4F" w:rsidRDefault="0089502F" w:rsidP="00614FCA">
      <w:pPr>
        <w:autoSpaceDE w:val="0"/>
        <w:autoSpaceDN w:val="0"/>
        <w:adjustRightInd w:val="0"/>
        <w:spacing w:after="0"/>
        <w:ind w:left="567"/>
        <w:rPr>
          <w:rFonts w:ascii="Arial" w:hAnsi="Arial" w:cs="Arial"/>
          <w:sz w:val="18"/>
          <w:szCs w:val="18"/>
        </w:rPr>
      </w:pPr>
    </w:p>
    <w:p w14:paraId="62DE1087" w14:textId="77777777" w:rsidR="0089502F" w:rsidRPr="004B1C4F" w:rsidRDefault="0089502F" w:rsidP="00614FCA">
      <w:pPr>
        <w:autoSpaceDE w:val="0"/>
        <w:autoSpaceDN w:val="0"/>
        <w:adjustRightInd w:val="0"/>
        <w:spacing w:after="0"/>
        <w:ind w:left="567"/>
        <w:rPr>
          <w:rFonts w:ascii="Arial" w:hAnsi="Arial" w:cs="Arial"/>
          <w:sz w:val="18"/>
          <w:szCs w:val="18"/>
        </w:rPr>
      </w:pPr>
      <w:r w:rsidRPr="004B1C4F">
        <w:rPr>
          <w:rFonts w:ascii="Arial" w:hAnsi="Arial" w:cs="Arial"/>
          <w:b/>
          <w:sz w:val="18"/>
          <w:szCs w:val="18"/>
        </w:rPr>
        <w:t xml:space="preserve">You May Lose Money: </w:t>
      </w:r>
      <w:r w:rsidRPr="004B1C4F">
        <w:rPr>
          <w:rFonts w:ascii="Arial" w:hAnsi="Arial" w:cs="Arial"/>
          <w:sz w:val="18"/>
          <w:szCs w:val="18"/>
        </w:rPr>
        <w:t>An investment in smaller companies is likely to be higher risk than other investments. Investors’ capital may be at risk and Investors may get back less than their original investment.</w:t>
      </w:r>
    </w:p>
    <w:p w14:paraId="7C2CF789" w14:textId="77777777" w:rsidR="0089502F" w:rsidRPr="004B1C4F" w:rsidRDefault="0089502F" w:rsidP="00614FCA">
      <w:pPr>
        <w:autoSpaceDE w:val="0"/>
        <w:autoSpaceDN w:val="0"/>
        <w:adjustRightInd w:val="0"/>
        <w:spacing w:after="0"/>
        <w:ind w:left="567"/>
        <w:rPr>
          <w:rFonts w:ascii="Arial" w:hAnsi="Arial" w:cs="Arial"/>
          <w:sz w:val="18"/>
          <w:szCs w:val="18"/>
        </w:rPr>
      </w:pPr>
    </w:p>
    <w:p w14:paraId="64214392" w14:textId="77777777" w:rsidR="0089502F" w:rsidRPr="004B1C4F" w:rsidRDefault="0089502F" w:rsidP="00614FCA">
      <w:pPr>
        <w:autoSpaceDE w:val="0"/>
        <w:autoSpaceDN w:val="0"/>
        <w:adjustRightInd w:val="0"/>
        <w:spacing w:after="0"/>
        <w:ind w:left="567"/>
        <w:rPr>
          <w:rFonts w:ascii="Arial" w:hAnsi="Arial" w:cs="Arial"/>
          <w:sz w:val="18"/>
          <w:szCs w:val="18"/>
        </w:rPr>
      </w:pPr>
      <w:r w:rsidRPr="004B1C4F">
        <w:rPr>
          <w:rFonts w:ascii="Arial" w:hAnsi="Arial" w:cs="Arial"/>
          <w:b/>
          <w:sz w:val="18"/>
          <w:szCs w:val="18"/>
        </w:rPr>
        <w:t>Long-Term Investment:</w:t>
      </w:r>
      <w:r w:rsidRPr="004B1C4F">
        <w:rPr>
          <w:rFonts w:ascii="Arial" w:hAnsi="Arial" w:cs="Arial"/>
          <w:sz w:val="18"/>
          <w:szCs w:val="18"/>
        </w:rPr>
        <w:t xml:space="preserve"> An investment in the Service should be considered a long-term investment.</w:t>
      </w:r>
    </w:p>
    <w:p w14:paraId="6B2A1B2B" w14:textId="77777777" w:rsidR="0089502F" w:rsidRPr="004B1C4F" w:rsidRDefault="0089502F" w:rsidP="00614FCA">
      <w:pPr>
        <w:autoSpaceDE w:val="0"/>
        <w:autoSpaceDN w:val="0"/>
        <w:adjustRightInd w:val="0"/>
        <w:spacing w:after="0"/>
        <w:ind w:left="567"/>
        <w:rPr>
          <w:rFonts w:ascii="Arial" w:hAnsi="Arial" w:cs="Arial"/>
          <w:sz w:val="18"/>
          <w:szCs w:val="18"/>
        </w:rPr>
      </w:pPr>
    </w:p>
    <w:p w14:paraId="49612660" w14:textId="77777777" w:rsidR="0089502F" w:rsidRPr="004B1C4F" w:rsidRDefault="0089502F" w:rsidP="00614FCA">
      <w:pPr>
        <w:autoSpaceDE w:val="0"/>
        <w:autoSpaceDN w:val="0"/>
        <w:adjustRightInd w:val="0"/>
        <w:spacing w:after="0"/>
        <w:ind w:left="567"/>
        <w:rPr>
          <w:rFonts w:ascii="Arial" w:hAnsi="Arial" w:cs="Arial"/>
          <w:sz w:val="18"/>
          <w:szCs w:val="18"/>
        </w:rPr>
      </w:pPr>
      <w:r w:rsidRPr="004B1C4F">
        <w:rPr>
          <w:rFonts w:ascii="Arial" w:hAnsi="Arial" w:cs="Arial"/>
          <w:b/>
          <w:sz w:val="18"/>
          <w:szCs w:val="18"/>
        </w:rPr>
        <w:t>Potentially Illiquid Investment:</w:t>
      </w:r>
      <w:r w:rsidRPr="004B1C4F">
        <w:rPr>
          <w:rFonts w:ascii="Arial" w:hAnsi="Arial" w:cs="Arial"/>
          <w:sz w:val="18"/>
          <w:szCs w:val="18"/>
        </w:rPr>
        <w:t xml:space="preserve"> AIM stocks are largely small and illiquid. They are characterised by significant spreads and low trading volumes. It may prove difficult for Investors to realise immediately or in full proceeds from the sale of such shares.</w:t>
      </w:r>
    </w:p>
    <w:p w14:paraId="2F09FE21" w14:textId="77777777" w:rsidR="0089502F" w:rsidRPr="004B1C4F" w:rsidRDefault="0089502F" w:rsidP="0089502F">
      <w:pPr>
        <w:spacing w:after="0"/>
        <w:rPr>
          <w:rFonts w:ascii="Arial" w:hAnsi="Arial" w:cs="Arial"/>
          <w:b/>
          <w:i/>
          <w:sz w:val="16"/>
          <w:szCs w:val="16"/>
        </w:rPr>
      </w:pPr>
    </w:p>
    <w:p w14:paraId="2D66F5E1" w14:textId="77777777" w:rsidR="0089502F" w:rsidRPr="004B1C4F" w:rsidRDefault="0089502F" w:rsidP="0089502F">
      <w:pPr>
        <w:spacing w:after="0"/>
        <w:rPr>
          <w:rFonts w:ascii="Arial" w:hAnsi="Arial" w:cs="Arial"/>
          <w:b/>
          <w:i/>
          <w:sz w:val="16"/>
          <w:szCs w:val="16"/>
        </w:rPr>
      </w:pPr>
    </w:p>
    <w:p w14:paraId="28174872" w14:textId="77777777" w:rsidR="009A46F2" w:rsidRDefault="009A46F2" w:rsidP="0089502F">
      <w:pPr>
        <w:spacing w:after="0"/>
        <w:rPr>
          <w:rFonts w:ascii="Arial" w:hAnsi="Arial" w:cs="Arial"/>
          <w:b/>
          <w:iCs/>
          <w:sz w:val="18"/>
          <w:szCs w:val="18"/>
        </w:rPr>
      </w:pPr>
    </w:p>
    <w:p w14:paraId="4716DED9" w14:textId="77777777" w:rsidR="009A46F2" w:rsidRDefault="009A46F2">
      <w:pPr>
        <w:rPr>
          <w:rFonts w:ascii="Arial" w:hAnsi="Arial" w:cs="Arial"/>
          <w:b/>
          <w:iCs/>
          <w:sz w:val="18"/>
          <w:szCs w:val="18"/>
        </w:rPr>
      </w:pPr>
      <w:r>
        <w:rPr>
          <w:rFonts w:ascii="Arial" w:hAnsi="Arial" w:cs="Arial"/>
          <w:b/>
          <w:iCs/>
          <w:sz w:val="18"/>
          <w:szCs w:val="18"/>
        </w:rPr>
        <w:br w:type="page"/>
      </w:r>
    </w:p>
    <w:p w14:paraId="61F393ED" w14:textId="782FAE17" w:rsidR="0089502F" w:rsidRPr="001C6EF5" w:rsidRDefault="0089502F" w:rsidP="0089502F">
      <w:pPr>
        <w:spacing w:after="0"/>
        <w:rPr>
          <w:rFonts w:ascii="Arial" w:hAnsi="Arial" w:cs="Arial"/>
          <w:b/>
          <w:iCs/>
          <w:sz w:val="18"/>
          <w:szCs w:val="18"/>
        </w:rPr>
      </w:pPr>
      <w:r w:rsidRPr="001C6EF5">
        <w:rPr>
          <w:rFonts w:ascii="Arial" w:hAnsi="Arial" w:cs="Arial"/>
          <w:b/>
          <w:iCs/>
          <w:sz w:val="18"/>
          <w:szCs w:val="18"/>
        </w:rPr>
        <w:lastRenderedPageBreak/>
        <w:t>Disclaimer</w:t>
      </w:r>
    </w:p>
    <w:p w14:paraId="587EC71C" w14:textId="77777777" w:rsidR="0089502F" w:rsidRPr="004B1C4F" w:rsidRDefault="0089502F" w:rsidP="0089502F">
      <w:pPr>
        <w:spacing w:after="0"/>
        <w:rPr>
          <w:rFonts w:ascii="Arial" w:hAnsi="Arial" w:cs="Arial"/>
          <w:b/>
          <w:i/>
          <w:sz w:val="18"/>
          <w:szCs w:val="18"/>
        </w:rPr>
      </w:pPr>
    </w:p>
    <w:p w14:paraId="12A9591D" w14:textId="77777777" w:rsidR="0089502F" w:rsidRPr="001C6EF5" w:rsidRDefault="0089502F" w:rsidP="0089502F">
      <w:pPr>
        <w:spacing w:line="240" w:lineRule="auto"/>
        <w:jc w:val="both"/>
        <w:rPr>
          <w:rFonts w:ascii="Arial" w:hAnsi="Arial" w:cs="Arial"/>
          <w:iCs/>
          <w:sz w:val="18"/>
          <w:szCs w:val="18"/>
        </w:rPr>
      </w:pPr>
      <w:r w:rsidRPr="001C6EF5">
        <w:rPr>
          <w:rFonts w:ascii="Arial" w:hAnsi="Arial" w:cs="Arial"/>
          <w:iCs/>
          <w:sz w:val="18"/>
          <w:szCs w:val="18"/>
        </w:rPr>
        <w:t>Investment in the Puma AIM Inheritance Tax (IHT) Service and the Puma AIM ISA Inheritance Tax (IHT) Service carries risk and prospective investors should review the section headed “risk factors” in the offering Investment Details and Investor Agreement.</w:t>
      </w:r>
    </w:p>
    <w:p w14:paraId="05CC5C25" w14:textId="77777777" w:rsidR="0089502F" w:rsidRPr="001C6EF5" w:rsidRDefault="0089502F" w:rsidP="0089502F">
      <w:pPr>
        <w:spacing w:line="240" w:lineRule="auto"/>
        <w:jc w:val="both"/>
        <w:rPr>
          <w:rFonts w:ascii="Arial" w:hAnsi="Arial" w:cs="Arial"/>
          <w:iCs/>
          <w:sz w:val="18"/>
          <w:szCs w:val="18"/>
        </w:rPr>
      </w:pPr>
      <w:r w:rsidRPr="001C6EF5">
        <w:rPr>
          <w:rFonts w:ascii="Arial" w:hAnsi="Arial" w:cs="Arial"/>
          <w:iCs/>
          <w:sz w:val="18"/>
          <w:szCs w:val="18"/>
        </w:rPr>
        <w:t xml:space="preserve">This document is directed at investment professionals only and is an exempt financial promotion not subject to section 21 of the Financial Services and Markets Act 2000. Persons who are not investment professionals should not rely on this document. </w:t>
      </w:r>
    </w:p>
    <w:p w14:paraId="0BF7AA2C" w14:textId="77777777" w:rsidR="0089502F" w:rsidRPr="001C6EF5" w:rsidRDefault="0089502F" w:rsidP="0089502F">
      <w:pPr>
        <w:spacing w:line="240" w:lineRule="auto"/>
        <w:jc w:val="both"/>
        <w:rPr>
          <w:rFonts w:ascii="Arial" w:hAnsi="Arial" w:cs="Arial"/>
          <w:iCs/>
          <w:sz w:val="18"/>
          <w:szCs w:val="18"/>
        </w:rPr>
      </w:pPr>
      <w:r w:rsidRPr="001C6EF5">
        <w:rPr>
          <w:rFonts w:ascii="Arial" w:hAnsi="Arial" w:cs="Arial"/>
          <w:iCs/>
          <w:sz w:val="18"/>
          <w:szCs w:val="18"/>
        </w:rPr>
        <w:t>This document does not constitute or form any part of any offer or invitation to sell or issue or purchase or subscribe for any shares and is a not a prospectus prepared in accordance with the Prospectus Rules of the Financial Conduct Authority (“FCA”). This document does not constitute a research recommendation or a personal recommendation in accordance with FCA rules. Before investing in the Puma AIM IHT Service or the Puma AIM ISA IHT Service, investors should read in detail the relevant offering documents. Puma Investments (FCA no. 590919) is authorised and regulated by the FCA with a registered address of Cassini House, 57 St James’s Street, SW1A 1LD.</w:t>
      </w:r>
    </w:p>
    <w:p w14:paraId="37480C56" w14:textId="77777777" w:rsidR="0089502F" w:rsidRPr="001C6EF5" w:rsidRDefault="0089502F" w:rsidP="0089502F">
      <w:pPr>
        <w:spacing w:line="240" w:lineRule="auto"/>
        <w:jc w:val="both"/>
        <w:rPr>
          <w:rFonts w:ascii="Arial" w:hAnsi="Arial" w:cs="Arial"/>
          <w:iCs/>
          <w:sz w:val="18"/>
          <w:szCs w:val="18"/>
        </w:rPr>
      </w:pPr>
      <w:r w:rsidRPr="001C6EF5">
        <w:rPr>
          <w:rFonts w:ascii="Arial" w:hAnsi="Arial" w:cs="Arial"/>
          <w:iCs/>
          <w:sz w:val="18"/>
          <w:szCs w:val="18"/>
        </w:rPr>
        <w:t xml:space="preserve">This document is provided to recipients on the basis that they keep confidential any information contained within it or otherwise made available, whether orally or in writing in connection with Puma Investments or otherwise. </w:t>
      </w:r>
    </w:p>
    <w:p w14:paraId="620E1B7A" w14:textId="77777777" w:rsidR="0089502F" w:rsidRPr="001C6EF5" w:rsidRDefault="0089502F" w:rsidP="0089502F">
      <w:pPr>
        <w:spacing w:line="240" w:lineRule="auto"/>
        <w:jc w:val="both"/>
        <w:rPr>
          <w:rFonts w:ascii="Arial" w:hAnsi="Arial" w:cs="Arial"/>
          <w:iCs/>
          <w:sz w:val="18"/>
          <w:szCs w:val="18"/>
        </w:rPr>
      </w:pPr>
      <w:r w:rsidRPr="001C6EF5">
        <w:rPr>
          <w:rFonts w:ascii="Arial" w:hAnsi="Arial" w:cs="Arial"/>
          <w:iCs/>
          <w:sz w:val="18"/>
          <w:szCs w:val="18"/>
        </w:rPr>
        <w:t xml:space="preserve">Certain information contained herein is based on information from third-party sources.  While such sources are believed to be reliable, no independent verification of such data has been undertaken. Although Puma Investments has taken care to ensure that the information in this document is accurate and complete, Puma Investments and its affiliates, directors and employees assume no responsibility or liability whatsoever for the accuracy or completeness of the information or for any direct, indirect or consequential loss or damage howsoever arising. (This does not affect any liability owed under FCA rules).  Any facts or statements in this document should not be relied upon. Neither Puma Investments nor any of its respective affiliates assume any responsibility to update any of the information provided.        </w:t>
      </w:r>
    </w:p>
    <w:p w14:paraId="0BA494E4" w14:textId="77777777" w:rsidR="001C6EF5" w:rsidRDefault="001C6EF5" w:rsidP="0089502F">
      <w:pPr>
        <w:spacing w:line="240" w:lineRule="auto"/>
        <w:jc w:val="both"/>
        <w:rPr>
          <w:rFonts w:ascii="Arial" w:hAnsi="Arial" w:cs="Arial"/>
          <w:i/>
          <w:iCs/>
          <w:sz w:val="18"/>
          <w:szCs w:val="18"/>
        </w:rPr>
      </w:pPr>
    </w:p>
    <w:p w14:paraId="52410829" w14:textId="1E1B5806" w:rsidR="0089502F" w:rsidRPr="001C6EF5" w:rsidRDefault="0089502F" w:rsidP="0089502F">
      <w:pPr>
        <w:spacing w:line="240" w:lineRule="auto"/>
        <w:jc w:val="both"/>
        <w:rPr>
          <w:rFonts w:ascii="Arial" w:hAnsi="Arial" w:cs="Arial"/>
          <w:b/>
          <w:bCs/>
          <w:sz w:val="18"/>
          <w:szCs w:val="18"/>
        </w:rPr>
      </w:pPr>
      <w:r w:rsidRPr="001C6EF5">
        <w:rPr>
          <w:rFonts w:ascii="Arial" w:hAnsi="Arial" w:cs="Arial"/>
          <w:b/>
          <w:bCs/>
          <w:sz w:val="18"/>
          <w:szCs w:val="18"/>
        </w:rPr>
        <w:t xml:space="preserve">Date </w:t>
      </w:r>
      <w:r w:rsidR="001C6EF5" w:rsidRPr="001C6EF5">
        <w:rPr>
          <w:rFonts w:ascii="Arial" w:hAnsi="Arial" w:cs="Arial"/>
          <w:b/>
          <w:bCs/>
          <w:sz w:val="18"/>
          <w:szCs w:val="18"/>
        </w:rPr>
        <w:t>published</w:t>
      </w:r>
      <w:r w:rsidRPr="001C6EF5">
        <w:rPr>
          <w:rFonts w:ascii="Arial" w:hAnsi="Arial" w:cs="Arial"/>
          <w:b/>
          <w:bCs/>
          <w:sz w:val="18"/>
          <w:szCs w:val="18"/>
        </w:rPr>
        <w:t>: March 2023</w:t>
      </w:r>
    </w:p>
    <w:p w14:paraId="35309384" w14:textId="77777777" w:rsidR="0089502F" w:rsidRPr="00A704BB" w:rsidRDefault="0089502F" w:rsidP="00D85638">
      <w:pPr>
        <w:spacing w:line="240" w:lineRule="auto"/>
        <w:jc w:val="both"/>
        <w:rPr>
          <w:rFonts w:ascii="Arial" w:hAnsi="Arial" w:cs="Arial"/>
          <w:bCs/>
          <w:sz w:val="18"/>
          <w:szCs w:val="18"/>
        </w:rPr>
      </w:pPr>
    </w:p>
    <w:sectPr w:rsidR="0089502F" w:rsidRPr="00A704B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A6F3" w14:textId="77777777" w:rsidR="00C16805" w:rsidRDefault="00C16805" w:rsidP="00462431">
      <w:pPr>
        <w:spacing w:after="0" w:line="240" w:lineRule="auto"/>
      </w:pPr>
      <w:r>
        <w:separator/>
      </w:r>
    </w:p>
  </w:endnote>
  <w:endnote w:type="continuationSeparator" w:id="0">
    <w:p w14:paraId="77BD3C73" w14:textId="77777777" w:rsidR="00C16805" w:rsidRDefault="00C16805" w:rsidP="00462431">
      <w:pPr>
        <w:spacing w:after="0" w:line="240" w:lineRule="auto"/>
      </w:pPr>
      <w:r>
        <w:continuationSeparator/>
      </w:r>
    </w:p>
  </w:endnote>
  <w:endnote w:type="continuationNotice" w:id="1">
    <w:p w14:paraId="6F937122" w14:textId="77777777" w:rsidR="00C16805" w:rsidRDefault="00C16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3A1C" w14:textId="77777777" w:rsidR="00407028" w:rsidRPr="003F2A49" w:rsidRDefault="00407028" w:rsidP="003F2A49">
    <w:pPr>
      <w:spacing w:after="0" w:line="240" w:lineRule="auto"/>
      <w:jc w:val="both"/>
      <w:rPr>
        <w:rFonts w:cstheme="minorHAnsi"/>
        <w:color w:val="0000FF"/>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2644" w14:textId="77777777" w:rsidR="00C16805" w:rsidRDefault="00C16805" w:rsidP="00462431">
      <w:pPr>
        <w:spacing w:after="0" w:line="240" w:lineRule="auto"/>
      </w:pPr>
      <w:r>
        <w:separator/>
      </w:r>
    </w:p>
  </w:footnote>
  <w:footnote w:type="continuationSeparator" w:id="0">
    <w:p w14:paraId="1D68A2E2" w14:textId="77777777" w:rsidR="00C16805" w:rsidRDefault="00C16805" w:rsidP="00462431">
      <w:pPr>
        <w:spacing w:after="0" w:line="240" w:lineRule="auto"/>
      </w:pPr>
      <w:r>
        <w:continuationSeparator/>
      </w:r>
    </w:p>
  </w:footnote>
  <w:footnote w:type="continuationNotice" w:id="1">
    <w:p w14:paraId="1B2F291A" w14:textId="77777777" w:rsidR="00C16805" w:rsidRDefault="00C16805">
      <w:pPr>
        <w:spacing w:after="0" w:line="240" w:lineRule="auto"/>
      </w:pPr>
    </w:p>
  </w:footnote>
  <w:footnote w:id="2">
    <w:p w14:paraId="55E5277F" w14:textId="77777777" w:rsidR="0089502F" w:rsidRDefault="0089502F" w:rsidP="0089502F">
      <w:pPr>
        <w:spacing w:after="0"/>
        <w:rPr>
          <w:rFonts w:cstheme="minorHAnsi"/>
          <w:sz w:val="18"/>
          <w:szCs w:val="18"/>
        </w:rPr>
      </w:pPr>
      <w:r>
        <w:rPr>
          <w:rStyle w:val="FootnoteReference"/>
        </w:rPr>
        <w:footnoteRef/>
      </w:r>
      <w:r>
        <w:t xml:space="preserve"> </w:t>
      </w:r>
      <w:r>
        <w:rPr>
          <w:rFonts w:cstheme="minorHAnsi"/>
          <w:sz w:val="18"/>
          <w:szCs w:val="18"/>
        </w:rPr>
        <w:t xml:space="preserve">Source: Best AIM Investment Manager, Growth Investor Awards 2016,2017 and 2022. </w:t>
      </w:r>
    </w:p>
    <w:p w14:paraId="532927A6" w14:textId="77777777" w:rsidR="0089502F" w:rsidRDefault="0089502F" w:rsidP="0089502F">
      <w:pPr>
        <w:pStyle w:val="FootnoteText"/>
      </w:pPr>
    </w:p>
  </w:footnote>
  <w:footnote w:id="3">
    <w:p w14:paraId="6CE2F673" w14:textId="77777777" w:rsidR="0089502F" w:rsidRPr="005A126E" w:rsidRDefault="0089502F" w:rsidP="0089502F">
      <w:pPr>
        <w:pStyle w:val="FootnoteText"/>
        <w:rPr>
          <w:sz w:val="18"/>
          <w:szCs w:val="18"/>
        </w:rPr>
      </w:pPr>
      <w:r>
        <w:rPr>
          <w:rStyle w:val="FootnoteReference"/>
        </w:rPr>
        <w:footnoteRef/>
      </w:r>
      <w:r>
        <w:t xml:space="preserve"> </w:t>
      </w:r>
      <w:r w:rsidRPr="005A126E">
        <w:rPr>
          <w:sz w:val="18"/>
          <w:szCs w:val="18"/>
        </w:rPr>
        <w:t>The indices referenced are for illustrative purposes only and are not considered</w:t>
      </w:r>
      <w:r>
        <w:rPr>
          <w:sz w:val="18"/>
          <w:szCs w:val="18"/>
        </w:rPr>
        <w:t xml:space="preserve"> </w:t>
      </w:r>
      <w:r w:rsidRPr="005A126E">
        <w:rPr>
          <w:sz w:val="18"/>
          <w:szCs w:val="18"/>
        </w:rPr>
        <w:t>directly comparable to the performance</w:t>
      </w:r>
    </w:p>
    <w:p w14:paraId="5A15903D" w14:textId="77777777" w:rsidR="0089502F" w:rsidRDefault="0089502F" w:rsidP="0089502F">
      <w:pPr>
        <w:spacing w:after="0"/>
        <w:rPr>
          <w:rFonts w:cstheme="minorHAnsi"/>
          <w:sz w:val="18"/>
          <w:szCs w:val="18"/>
        </w:rPr>
      </w:pPr>
      <w:r w:rsidRPr="005A126E">
        <w:rPr>
          <w:sz w:val="18"/>
          <w:szCs w:val="18"/>
        </w:rPr>
        <w:t>of this Service</w:t>
      </w:r>
      <w:r>
        <w:rPr>
          <w:sz w:val="18"/>
          <w:szCs w:val="18"/>
        </w:rPr>
        <w:t xml:space="preserve">. Performance as at 31/03/2023. </w:t>
      </w:r>
      <w:r>
        <w:rPr>
          <w:rFonts w:cstheme="minorHAnsi"/>
          <w:sz w:val="18"/>
          <w:szCs w:val="18"/>
        </w:rPr>
        <w:t>Note that past performance is not a guide to future performance.</w:t>
      </w:r>
    </w:p>
    <w:p w14:paraId="084B54BF" w14:textId="77777777" w:rsidR="0089502F" w:rsidRDefault="0089502F" w:rsidP="0089502F">
      <w:pPr>
        <w:pStyle w:val="FootnoteText"/>
      </w:pPr>
    </w:p>
  </w:footnote>
  <w:footnote w:id="4">
    <w:p w14:paraId="4CFEDC08" w14:textId="77777777" w:rsidR="0089502F" w:rsidRDefault="0089502F" w:rsidP="0089502F">
      <w:pPr>
        <w:spacing w:after="0"/>
      </w:pPr>
      <w:r>
        <w:rPr>
          <w:rStyle w:val="FootnoteReference"/>
        </w:rPr>
        <w:footnoteRef/>
      </w:r>
      <w:r w:rsidRPr="00155FB4">
        <w:rPr>
          <w:rStyle w:val="FootnoteReference"/>
        </w:rPr>
        <w:t xml:space="preserve"> Source: Shore Capital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2B66" w14:textId="0882B3F2" w:rsidR="00407028" w:rsidRPr="005352A4" w:rsidRDefault="000030A5" w:rsidP="00127485">
    <w:pPr>
      <w:pStyle w:val="Header"/>
      <w:jc w:val="right"/>
      <w:rPr>
        <w:b/>
      </w:rPr>
    </w:pPr>
    <w:r>
      <w:rPr>
        <w:rFonts w:ascii="Arial" w:hAnsi="Arial" w:cs="Arial"/>
        <w:noProof/>
        <w:sz w:val="20"/>
        <w:szCs w:val="20"/>
      </w:rPr>
      <w:drawing>
        <wp:anchor distT="0" distB="0" distL="114300" distR="114300" simplePos="0" relativeHeight="251658240" behindDoc="0" locked="0" layoutInCell="1" allowOverlap="0" wp14:anchorId="791023AD" wp14:editId="615443FD">
          <wp:simplePos x="0" y="0"/>
          <wp:positionH relativeFrom="column">
            <wp:posOffset>3514725</wp:posOffset>
          </wp:positionH>
          <wp:positionV relativeFrom="paragraph">
            <wp:posOffset>7620</wp:posOffset>
          </wp:positionV>
          <wp:extent cx="2361600" cy="997200"/>
          <wp:effectExtent l="0" t="0" r="635" b="0"/>
          <wp:wrapThrough wrapText="bothSides">
            <wp:wrapPolygon edited="0">
              <wp:start x="0" y="0"/>
              <wp:lineTo x="0" y="21050"/>
              <wp:lineTo x="21432" y="21050"/>
              <wp:lineTo x="21432" y="0"/>
              <wp:lineTo x="0" y="0"/>
            </wp:wrapPolygon>
          </wp:wrapThrough>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2319" r="10012" b="16177"/>
                  <a:stretch/>
                </pic:blipFill>
                <pic:spPr bwMode="auto">
                  <a:xfrm>
                    <a:off x="0" y="0"/>
                    <a:ext cx="2361600" cy="99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F299C" w14:textId="77777777" w:rsidR="00127485" w:rsidRDefault="00127485" w:rsidP="00127485">
    <w:pPr>
      <w:pStyle w:val="Header"/>
      <w:jc w:val="center"/>
      <w:rPr>
        <w:b/>
      </w:rPr>
    </w:pPr>
  </w:p>
  <w:p w14:paraId="44164950" w14:textId="77777777" w:rsidR="00127485" w:rsidRDefault="00127485" w:rsidP="00127485">
    <w:pPr>
      <w:pStyle w:val="Header"/>
      <w:jc w:val="center"/>
      <w:rPr>
        <w:b/>
      </w:rPr>
    </w:pPr>
  </w:p>
  <w:p w14:paraId="5312927C" w14:textId="77777777" w:rsidR="00127485" w:rsidRDefault="00127485" w:rsidP="00127485">
    <w:pPr>
      <w:pStyle w:val="Header"/>
      <w:jc w:val="center"/>
      <w:rPr>
        <w:b/>
      </w:rPr>
    </w:pPr>
  </w:p>
  <w:p w14:paraId="095B802E" w14:textId="77777777" w:rsidR="00127485" w:rsidRDefault="00127485" w:rsidP="00127485">
    <w:pPr>
      <w:pStyle w:val="Header"/>
      <w:jc w:val="center"/>
      <w:rPr>
        <w:b/>
      </w:rPr>
    </w:pPr>
  </w:p>
  <w:p w14:paraId="7D03AD23" w14:textId="77777777" w:rsidR="00127485" w:rsidRDefault="00127485" w:rsidP="00D136A7">
    <w:pPr>
      <w:pStyle w:val="Header"/>
      <w:rPr>
        <w:b/>
      </w:rPr>
    </w:pPr>
  </w:p>
  <w:p w14:paraId="616B78EF" w14:textId="77777777" w:rsidR="00407028" w:rsidRDefault="00407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AF4"/>
    <w:multiLevelType w:val="hybridMultilevel"/>
    <w:tmpl w:val="ED3CAD66"/>
    <w:lvl w:ilvl="0" w:tplc="08090001">
      <w:start w:val="1"/>
      <w:numFmt w:val="bullet"/>
      <w:lvlText w:val=""/>
      <w:lvlJc w:val="left"/>
      <w:pPr>
        <w:ind w:left="720" w:hanging="360"/>
      </w:pPr>
      <w:rPr>
        <w:rFonts w:ascii="Symbol" w:hAnsi="Symbol" w:hint="default"/>
      </w:rPr>
    </w:lvl>
    <w:lvl w:ilvl="1" w:tplc="AAF4C2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023E"/>
    <w:multiLevelType w:val="hybridMultilevel"/>
    <w:tmpl w:val="33628030"/>
    <w:lvl w:ilvl="0" w:tplc="EF6EE5DE">
      <w:numFmt w:val="bullet"/>
      <w:lvlText w:val="•"/>
      <w:lvlJc w:val="left"/>
      <w:pPr>
        <w:ind w:left="720" w:hanging="36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1A59"/>
    <w:multiLevelType w:val="hybridMultilevel"/>
    <w:tmpl w:val="DA5A627C"/>
    <w:lvl w:ilvl="0" w:tplc="8A8469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2074"/>
    <w:multiLevelType w:val="hybridMultilevel"/>
    <w:tmpl w:val="7DA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65007"/>
    <w:multiLevelType w:val="hybridMultilevel"/>
    <w:tmpl w:val="E56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086CA5"/>
    <w:multiLevelType w:val="hybridMultilevel"/>
    <w:tmpl w:val="98F6C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851CE4"/>
    <w:multiLevelType w:val="hybridMultilevel"/>
    <w:tmpl w:val="22CE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392750">
    <w:abstractNumId w:val="2"/>
  </w:num>
  <w:num w:numId="2" w16cid:durableId="1902985662">
    <w:abstractNumId w:val="6"/>
  </w:num>
  <w:num w:numId="3" w16cid:durableId="602110938">
    <w:abstractNumId w:val="3"/>
  </w:num>
  <w:num w:numId="4" w16cid:durableId="1844198519">
    <w:abstractNumId w:val="5"/>
  </w:num>
  <w:num w:numId="5" w16cid:durableId="557476581">
    <w:abstractNumId w:val="4"/>
  </w:num>
  <w:num w:numId="6" w16cid:durableId="798035422">
    <w:abstractNumId w:val="1"/>
  </w:num>
  <w:num w:numId="7" w16cid:durableId="105605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BE"/>
    <w:rsid w:val="000030A5"/>
    <w:rsid w:val="00003CB2"/>
    <w:rsid w:val="000176F0"/>
    <w:rsid w:val="00023FB3"/>
    <w:rsid w:val="0003116F"/>
    <w:rsid w:val="00046C8F"/>
    <w:rsid w:val="00056302"/>
    <w:rsid w:val="00060661"/>
    <w:rsid w:val="000658D2"/>
    <w:rsid w:val="000765E4"/>
    <w:rsid w:val="000878C1"/>
    <w:rsid w:val="000A2653"/>
    <w:rsid w:val="000A660A"/>
    <w:rsid w:val="000B3B5F"/>
    <w:rsid w:val="000C0AA6"/>
    <w:rsid w:val="000C2C9C"/>
    <w:rsid w:val="000F389F"/>
    <w:rsid w:val="000F4DA4"/>
    <w:rsid w:val="00110E14"/>
    <w:rsid w:val="0011368C"/>
    <w:rsid w:val="00114E94"/>
    <w:rsid w:val="00116C18"/>
    <w:rsid w:val="00122DEE"/>
    <w:rsid w:val="001265BE"/>
    <w:rsid w:val="00126A71"/>
    <w:rsid w:val="00127485"/>
    <w:rsid w:val="00130098"/>
    <w:rsid w:val="00135FEC"/>
    <w:rsid w:val="00140EEE"/>
    <w:rsid w:val="001554A7"/>
    <w:rsid w:val="00175B91"/>
    <w:rsid w:val="00176486"/>
    <w:rsid w:val="00182524"/>
    <w:rsid w:val="001B0BD6"/>
    <w:rsid w:val="001C41DB"/>
    <w:rsid w:val="001C6EF5"/>
    <w:rsid w:val="001C6F86"/>
    <w:rsid w:val="001D2FF3"/>
    <w:rsid w:val="001E0F94"/>
    <w:rsid w:val="001F652A"/>
    <w:rsid w:val="00206D3F"/>
    <w:rsid w:val="002205BD"/>
    <w:rsid w:val="002257A0"/>
    <w:rsid w:val="002277CF"/>
    <w:rsid w:val="00232807"/>
    <w:rsid w:val="002422B1"/>
    <w:rsid w:val="00246F2C"/>
    <w:rsid w:val="002511B8"/>
    <w:rsid w:val="002545CB"/>
    <w:rsid w:val="002656F8"/>
    <w:rsid w:val="00292E3D"/>
    <w:rsid w:val="00293AA5"/>
    <w:rsid w:val="00297040"/>
    <w:rsid w:val="002A32CB"/>
    <w:rsid w:val="002B0FB6"/>
    <w:rsid w:val="002B1327"/>
    <w:rsid w:val="002B1788"/>
    <w:rsid w:val="002C302A"/>
    <w:rsid w:val="002C3AE1"/>
    <w:rsid w:val="002C41B0"/>
    <w:rsid w:val="002C44EB"/>
    <w:rsid w:val="002D1156"/>
    <w:rsid w:val="002D5C08"/>
    <w:rsid w:val="002E388B"/>
    <w:rsid w:val="003029F3"/>
    <w:rsid w:val="00310FE5"/>
    <w:rsid w:val="00325DA8"/>
    <w:rsid w:val="00333AC3"/>
    <w:rsid w:val="00337031"/>
    <w:rsid w:val="00344925"/>
    <w:rsid w:val="00355D4D"/>
    <w:rsid w:val="00357ACC"/>
    <w:rsid w:val="00357EDF"/>
    <w:rsid w:val="00391C45"/>
    <w:rsid w:val="003A016F"/>
    <w:rsid w:val="003A0D66"/>
    <w:rsid w:val="003A3447"/>
    <w:rsid w:val="003A348C"/>
    <w:rsid w:val="003A64E7"/>
    <w:rsid w:val="003B60B4"/>
    <w:rsid w:val="003D2980"/>
    <w:rsid w:val="003D6DD0"/>
    <w:rsid w:val="003D7882"/>
    <w:rsid w:val="003D7F50"/>
    <w:rsid w:val="003E1858"/>
    <w:rsid w:val="003E70B1"/>
    <w:rsid w:val="003F2A49"/>
    <w:rsid w:val="003F640A"/>
    <w:rsid w:val="003F6AA1"/>
    <w:rsid w:val="00407028"/>
    <w:rsid w:val="00423751"/>
    <w:rsid w:val="00424160"/>
    <w:rsid w:val="00435B7A"/>
    <w:rsid w:val="00437001"/>
    <w:rsid w:val="00441F71"/>
    <w:rsid w:val="00444778"/>
    <w:rsid w:val="00445C85"/>
    <w:rsid w:val="00462431"/>
    <w:rsid w:val="00463A8D"/>
    <w:rsid w:val="00477900"/>
    <w:rsid w:val="00477CED"/>
    <w:rsid w:val="004830D8"/>
    <w:rsid w:val="00484853"/>
    <w:rsid w:val="00497480"/>
    <w:rsid w:val="004A00C3"/>
    <w:rsid w:val="004B1C4F"/>
    <w:rsid w:val="004B1CA0"/>
    <w:rsid w:val="004B5A14"/>
    <w:rsid w:val="004C3D61"/>
    <w:rsid w:val="004F0990"/>
    <w:rsid w:val="004F1189"/>
    <w:rsid w:val="004F45F6"/>
    <w:rsid w:val="0050483E"/>
    <w:rsid w:val="00505963"/>
    <w:rsid w:val="00512421"/>
    <w:rsid w:val="00570059"/>
    <w:rsid w:val="00573137"/>
    <w:rsid w:val="00573574"/>
    <w:rsid w:val="00592AF4"/>
    <w:rsid w:val="00597D3C"/>
    <w:rsid w:val="005A59CC"/>
    <w:rsid w:val="005B2185"/>
    <w:rsid w:val="005B3DAC"/>
    <w:rsid w:val="005C1DA7"/>
    <w:rsid w:val="005C5813"/>
    <w:rsid w:val="005E068C"/>
    <w:rsid w:val="005E32F9"/>
    <w:rsid w:val="00614FCA"/>
    <w:rsid w:val="00623E8F"/>
    <w:rsid w:val="00634E11"/>
    <w:rsid w:val="00642246"/>
    <w:rsid w:val="006528C9"/>
    <w:rsid w:val="00654838"/>
    <w:rsid w:val="00660441"/>
    <w:rsid w:val="0066698A"/>
    <w:rsid w:val="00680920"/>
    <w:rsid w:val="00682494"/>
    <w:rsid w:val="006953BE"/>
    <w:rsid w:val="00696971"/>
    <w:rsid w:val="006978A0"/>
    <w:rsid w:val="006B6EDC"/>
    <w:rsid w:val="006F0CFC"/>
    <w:rsid w:val="006F30F0"/>
    <w:rsid w:val="006F7D55"/>
    <w:rsid w:val="00702DDA"/>
    <w:rsid w:val="00704470"/>
    <w:rsid w:val="00724E07"/>
    <w:rsid w:val="00730E65"/>
    <w:rsid w:val="00752540"/>
    <w:rsid w:val="0075698E"/>
    <w:rsid w:val="00756EB0"/>
    <w:rsid w:val="007603A1"/>
    <w:rsid w:val="00762C99"/>
    <w:rsid w:val="007709FD"/>
    <w:rsid w:val="007763E6"/>
    <w:rsid w:val="00777D94"/>
    <w:rsid w:val="00777EC0"/>
    <w:rsid w:val="00784FCB"/>
    <w:rsid w:val="00786F94"/>
    <w:rsid w:val="007A09D6"/>
    <w:rsid w:val="007A4374"/>
    <w:rsid w:val="007B1CEF"/>
    <w:rsid w:val="007B4BB6"/>
    <w:rsid w:val="007B4ECE"/>
    <w:rsid w:val="007C00ED"/>
    <w:rsid w:val="007C0E25"/>
    <w:rsid w:val="007C12EA"/>
    <w:rsid w:val="007C6CE7"/>
    <w:rsid w:val="007D6EA8"/>
    <w:rsid w:val="007D7112"/>
    <w:rsid w:val="007E1015"/>
    <w:rsid w:val="007E1285"/>
    <w:rsid w:val="007F16A5"/>
    <w:rsid w:val="008143A2"/>
    <w:rsid w:val="00823A9E"/>
    <w:rsid w:val="00826BF0"/>
    <w:rsid w:val="00827B9E"/>
    <w:rsid w:val="00842D3E"/>
    <w:rsid w:val="00843342"/>
    <w:rsid w:val="00847BB3"/>
    <w:rsid w:val="0086109B"/>
    <w:rsid w:val="00865AD4"/>
    <w:rsid w:val="0089315E"/>
    <w:rsid w:val="00894835"/>
    <w:rsid w:val="0089502F"/>
    <w:rsid w:val="008B25FF"/>
    <w:rsid w:val="008C790E"/>
    <w:rsid w:val="008D47B9"/>
    <w:rsid w:val="008E30FE"/>
    <w:rsid w:val="008E6770"/>
    <w:rsid w:val="008F2F1E"/>
    <w:rsid w:val="00913154"/>
    <w:rsid w:val="00914A9D"/>
    <w:rsid w:val="0091525B"/>
    <w:rsid w:val="0092252D"/>
    <w:rsid w:val="00925846"/>
    <w:rsid w:val="00932A34"/>
    <w:rsid w:val="00937276"/>
    <w:rsid w:val="00942C03"/>
    <w:rsid w:val="0094309D"/>
    <w:rsid w:val="0094398B"/>
    <w:rsid w:val="00957821"/>
    <w:rsid w:val="00961227"/>
    <w:rsid w:val="00965BC0"/>
    <w:rsid w:val="00975C03"/>
    <w:rsid w:val="0098658B"/>
    <w:rsid w:val="00993B58"/>
    <w:rsid w:val="00994FB6"/>
    <w:rsid w:val="009A3DB8"/>
    <w:rsid w:val="009A46F2"/>
    <w:rsid w:val="009A59F8"/>
    <w:rsid w:val="009B4A9A"/>
    <w:rsid w:val="009C160C"/>
    <w:rsid w:val="009D7F72"/>
    <w:rsid w:val="009F5F1A"/>
    <w:rsid w:val="00A03666"/>
    <w:rsid w:val="00A07F59"/>
    <w:rsid w:val="00A30C5C"/>
    <w:rsid w:val="00A62B0F"/>
    <w:rsid w:val="00A704BB"/>
    <w:rsid w:val="00A72022"/>
    <w:rsid w:val="00A72958"/>
    <w:rsid w:val="00A80BD5"/>
    <w:rsid w:val="00A817F1"/>
    <w:rsid w:val="00A87B02"/>
    <w:rsid w:val="00AA1BAC"/>
    <w:rsid w:val="00AA2D56"/>
    <w:rsid w:val="00AB0A86"/>
    <w:rsid w:val="00AB2C33"/>
    <w:rsid w:val="00AB5038"/>
    <w:rsid w:val="00AB6C53"/>
    <w:rsid w:val="00AC0018"/>
    <w:rsid w:val="00AC5FD1"/>
    <w:rsid w:val="00AE4216"/>
    <w:rsid w:val="00B04744"/>
    <w:rsid w:val="00B04EA4"/>
    <w:rsid w:val="00B0542B"/>
    <w:rsid w:val="00B05A81"/>
    <w:rsid w:val="00B06EEE"/>
    <w:rsid w:val="00B10259"/>
    <w:rsid w:val="00B105D2"/>
    <w:rsid w:val="00B1322D"/>
    <w:rsid w:val="00B30C4E"/>
    <w:rsid w:val="00B35498"/>
    <w:rsid w:val="00B4788B"/>
    <w:rsid w:val="00B607CB"/>
    <w:rsid w:val="00B60EF3"/>
    <w:rsid w:val="00B61F57"/>
    <w:rsid w:val="00B6423A"/>
    <w:rsid w:val="00B83AEC"/>
    <w:rsid w:val="00B850D3"/>
    <w:rsid w:val="00BA2DE6"/>
    <w:rsid w:val="00BA7133"/>
    <w:rsid w:val="00BA73A4"/>
    <w:rsid w:val="00BB31C1"/>
    <w:rsid w:val="00BB3714"/>
    <w:rsid w:val="00BB577A"/>
    <w:rsid w:val="00BD0E8B"/>
    <w:rsid w:val="00BD6074"/>
    <w:rsid w:val="00BE436B"/>
    <w:rsid w:val="00BE55BF"/>
    <w:rsid w:val="00BE628B"/>
    <w:rsid w:val="00BE7DCA"/>
    <w:rsid w:val="00BF537A"/>
    <w:rsid w:val="00C00282"/>
    <w:rsid w:val="00C01D48"/>
    <w:rsid w:val="00C02058"/>
    <w:rsid w:val="00C12EE5"/>
    <w:rsid w:val="00C16805"/>
    <w:rsid w:val="00C33602"/>
    <w:rsid w:val="00C36657"/>
    <w:rsid w:val="00C46795"/>
    <w:rsid w:val="00C47A1F"/>
    <w:rsid w:val="00C521CA"/>
    <w:rsid w:val="00C528BF"/>
    <w:rsid w:val="00C6698D"/>
    <w:rsid w:val="00C6746D"/>
    <w:rsid w:val="00C733D4"/>
    <w:rsid w:val="00C766AE"/>
    <w:rsid w:val="00C838AD"/>
    <w:rsid w:val="00C85F26"/>
    <w:rsid w:val="00C95BFE"/>
    <w:rsid w:val="00CA1CAA"/>
    <w:rsid w:val="00CD2265"/>
    <w:rsid w:val="00CE2B20"/>
    <w:rsid w:val="00CF16BE"/>
    <w:rsid w:val="00CF18AB"/>
    <w:rsid w:val="00CF1C9F"/>
    <w:rsid w:val="00CF2EF2"/>
    <w:rsid w:val="00D07B39"/>
    <w:rsid w:val="00D131A6"/>
    <w:rsid w:val="00D136A7"/>
    <w:rsid w:val="00D14F2E"/>
    <w:rsid w:val="00D1721C"/>
    <w:rsid w:val="00D20E10"/>
    <w:rsid w:val="00D260AC"/>
    <w:rsid w:val="00D407EA"/>
    <w:rsid w:val="00D4102D"/>
    <w:rsid w:val="00D4462F"/>
    <w:rsid w:val="00D459B9"/>
    <w:rsid w:val="00D46CA9"/>
    <w:rsid w:val="00D6339C"/>
    <w:rsid w:val="00D84B72"/>
    <w:rsid w:val="00D85638"/>
    <w:rsid w:val="00D94A54"/>
    <w:rsid w:val="00DA034F"/>
    <w:rsid w:val="00DA2BCE"/>
    <w:rsid w:val="00DB1D64"/>
    <w:rsid w:val="00DC03DD"/>
    <w:rsid w:val="00DC04AA"/>
    <w:rsid w:val="00DC1FB4"/>
    <w:rsid w:val="00DC30FA"/>
    <w:rsid w:val="00DD59E0"/>
    <w:rsid w:val="00DF2C18"/>
    <w:rsid w:val="00DF473F"/>
    <w:rsid w:val="00E04506"/>
    <w:rsid w:val="00E2045E"/>
    <w:rsid w:val="00E3598E"/>
    <w:rsid w:val="00E37BCC"/>
    <w:rsid w:val="00E42E0C"/>
    <w:rsid w:val="00E44657"/>
    <w:rsid w:val="00E45801"/>
    <w:rsid w:val="00E46718"/>
    <w:rsid w:val="00E50C9F"/>
    <w:rsid w:val="00E566CD"/>
    <w:rsid w:val="00E6363A"/>
    <w:rsid w:val="00E851C9"/>
    <w:rsid w:val="00E862C9"/>
    <w:rsid w:val="00E87B31"/>
    <w:rsid w:val="00E91F05"/>
    <w:rsid w:val="00EA0622"/>
    <w:rsid w:val="00EC02E9"/>
    <w:rsid w:val="00ED07C7"/>
    <w:rsid w:val="00ED5181"/>
    <w:rsid w:val="00ED52FB"/>
    <w:rsid w:val="00EE17EE"/>
    <w:rsid w:val="00EE2EBF"/>
    <w:rsid w:val="00EE7AEF"/>
    <w:rsid w:val="00F07A55"/>
    <w:rsid w:val="00F23E62"/>
    <w:rsid w:val="00F31C72"/>
    <w:rsid w:val="00F352FC"/>
    <w:rsid w:val="00F35BDC"/>
    <w:rsid w:val="00F379CE"/>
    <w:rsid w:val="00F41BA4"/>
    <w:rsid w:val="00F456CB"/>
    <w:rsid w:val="00F6448D"/>
    <w:rsid w:val="00F67781"/>
    <w:rsid w:val="00F7769C"/>
    <w:rsid w:val="00F80EE4"/>
    <w:rsid w:val="00FA6695"/>
    <w:rsid w:val="00FB55E4"/>
    <w:rsid w:val="00FB6E13"/>
    <w:rsid w:val="00FC2516"/>
    <w:rsid w:val="00FC3820"/>
    <w:rsid w:val="00FC4B3B"/>
    <w:rsid w:val="00FE07BD"/>
    <w:rsid w:val="00FF46F1"/>
    <w:rsid w:val="592C4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7623F"/>
  <w15:docId w15:val="{11ADA608-A59B-43A7-AECF-8B05F3E8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1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431"/>
  </w:style>
  <w:style w:type="paragraph" w:styleId="Footer">
    <w:name w:val="footer"/>
    <w:basedOn w:val="Normal"/>
    <w:link w:val="FooterChar"/>
    <w:uiPriority w:val="99"/>
    <w:unhideWhenUsed/>
    <w:rsid w:val="00462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431"/>
  </w:style>
  <w:style w:type="paragraph" w:styleId="BalloonText">
    <w:name w:val="Balloon Text"/>
    <w:basedOn w:val="Normal"/>
    <w:link w:val="BalloonTextChar"/>
    <w:uiPriority w:val="99"/>
    <w:semiHidden/>
    <w:unhideWhenUsed/>
    <w:rsid w:val="00462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431"/>
    <w:rPr>
      <w:rFonts w:ascii="Tahoma" w:hAnsi="Tahoma" w:cs="Tahoma"/>
      <w:sz w:val="16"/>
      <w:szCs w:val="16"/>
    </w:rPr>
  </w:style>
  <w:style w:type="paragraph" w:styleId="ListParagraph">
    <w:name w:val="List Paragraph"/>
    <w:basedOn w:val="Normal"/>
    <w:uiPriority w:val="34"/>
    <w:qFormat/>
    <w:rsid w:val="00A72022"/>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3F2A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2A49"/>
    <w:rPr>
      <w:sz w:val="20"/>
      <w:szCs w:val="20"/>
    </w:rPr>
  </w:style>
  <w:style w:type="character" w:styleId="FootnoteReference">
    <w:name w:val="footnote reference"/>
    <w:basedOn w:val="DefaultParagraphFont"/>
    <w:uiPriority w:val="99"/>
    <w:semiHidden/>
    <w:unhideWhenUsed/>
    <w:rsid w:val="003F2A49"/>
    <w:rPr>
      <w:vertAlign w:val="superscript"/>
    </w:rPr>
  </w:style>
  <w:style w:type="character" w:styleId="Hyperlink">
    <w:name w:val="Hyperlink"/>
    <w:basedOn w:val="DefaultParagraphFont"/>
    <w:uiPriority w:val="99"/>
    <w:unhideWhenUsed/>
    <w:rsid w:val="003F2A49"/>
    <w:rPr>
      <w:color w:val="0000FF"/>
      <w:u w:val="single"/>
    </w:rPr>
  </w:style>
  <w:style w:type="character" w:styleId="CommentReference">
    <w:name w:val="annotation reference"/>
    <w:basedOn w:val="DefaultParagraphFont"/>
    <w:uiPriority w:val="99"/>
    <w:semiHidden/>
    <w:unhideWhenUsed/>
    <w:rsid w:val="003F6AA1"/>
    <w:rPr>
      <w:sz w:val="16"/>
      <w:szCs w:val="16"/>
    </w:rPr>
  </w:style>
  <w:style w:type="paragraph" w:styleId="CommentText">
    <w:name w:val="annotation text"/>
    <w:basedOn w:val="Normal"/>
    <w:link w:val="CommentTextChar"/>
    <w:uiPriority w:val="99"/>
    <w:unhideWhenUsed/>
    <w:rsid w:val="003F6AA1"/>
    <w:pPr>
      <w:spacing w:line="240" w:lineRule="auto"/>
    </w:pPr>
    <w:rPr>
      <w:sz w:val="20"/>
      <w:szCs w:val="20"/>
    </w:rPr>
  </w:style>
  <w:style w:type="character" w:customStyle="1" w:styleId="CommentTextChar">
    <w:name w:val="Comment Text Char"/>
    <w:basedOn w:val="DefaultParagraphFont"/>
    <w:link w:val="CommentText"/>
    <w:uiPriority w:val="99"/>
    <w:rsid w:val="003F6AA1"/>
    <w:rPr>
      <w:sz w:val="20"/>
      <w:szCs w:val="20"/>
    </w:rPr>
  </w:style>
  <w:style w:type="paragraph" w:styleId="CommentSubject">
    <w:name w:val="annotation subject"/>
    <w:basedOn w:val="CommentText"/>
    <w:next w:val="CommentText"/>
    <w:link w:val="CommentSubjectChar"/>
    <w:uiPriority w:val="99"/>
    <w:semiHidden/>
    <w:unhideWhenUsed/>
    <w:rsid w:val="003F6AA1"/>
    <w:rPr>
      <w:b/>
      <w:bCs/>
    </w:rPr>
  </w:style>
  <w:style w:type="character" w:customStyle="1" w:styleId="CommentSubjectChar">
    <w:name w:val="Comment Subject Char"/>
    <w:basedOn w:val="CommentTextChar"/>
    <w:link w:val="CommentSubject"/>
    <w:uiPriority w:val="99"/>
    <w:semiHidden/>
    <w:rsid w:val="003F6AA1"/>
    <w:rPr>
      <w:b/>
      <w:bCs/>
      <w:sz w:val="20"/>
      <w:szCs w:val="20"/>
    </w:rPr>
  </w:style>
  <w:style w:type="character" w:customStyle="1" w:styleId="Negative">
    <w:name w:val="_Negative"/>
    <w:basedOn w:val="DefaultParagraphFont"/>
    <w:rsid w:val="00292E3D"/>
    <w:rPr>
      <w:b/>
      <w:color w:val="FF0000"/>
      <w:u w:val="single"/>
    </w:rPr>
  </w:style>
  <w:style w:type="table" w:styleId="TableGrid">
    <w:name w:val="Table Grid"/>
    <w:basedOn w:val="TableNormal"/>
    <w:uiPriority w:val="59"/>
    <w:rsid w:val="00F2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850D3"/>
    <w:rPr>
      <w:color w:val="605E5C"/>
      <w:shd w:val="clear" w:color="auto" w:fill="E1DFDD"/>
    </w:rPr>
  </w:style>
  <w:style w:type="character" w:styleId="FollowedHyperlink">
    <w:name w:val="FollowedHyperlink"/>
    <w:basedOn w:val="DefaultParagraphFont"/>
    <w:uiPriority w:val="99"/>
    <w:semiHidden/>
    <w:unhideWhenUsed/>
    <w:rsid w:val="00441F71"/>
    <w:rPr>
      <w:color w:val="800080" w:themeColor="followedHyperlink"/>
      <w:u w:val="single"/>
    </w:rPr>
  </w:style>
  <w:style w:type="character" w:customStyle="1" w:styleId="UnresolvedMention2">
    <w:name w:val="Unresolved Mention2"/>
    <w:basedOn w:val="DefaultParagraphFont"/>
    <w:uiPriority w:val="99"/>
    <w:rsid w:val="000765E4"/>
    <w:rPr>
      <w:color w:val="605E5C"/>
      <w:shd w:val="clear" w:color="auto" w:fill="E1DFDD"/>
    </w:rPr>
  </w:style>
  <w:style w:type="paragraph" w:styleId="Revision">
    <w:name w:val="Revision"/>
    <w:hidden/>
    <w:uiPriority w:val="99"/>
    <w:semiHidden/>
    <w:rsid w:val="008E6770"/>
    <w:pPr>
      <w:spacing w:after="0" w:line="240" w:lineRule="auto"/>
    </w:pPr>
  </w:style>
  <w:style w:type="paragraph" w:styleId="BodyText">
    <w:name w:val="Body Text"/>
    <w:basedOn w:val="Normal"/>
    <w:link w:val="BodyTextChar"/>
    <w:uiPriority w:val="1"/>
    <w:qFormat/>
    <w:rsid w:val="001D2FF3"/>
    <w:pPr>
      <w:spacing w:after="0" w:line="240" w:lineRule="auto"/>
      <w:ind w:left="100"/>
      <w:jc w:val="both"/>
    </w:pPr>
    <w:rPr>
      <w:rFonts w:cs="Calibri"/>
    </w:rPr>
  </w:style>
  <w:style w:type="character" w:customStyle="1" w:styleId="BodyTextChar">
    <w:name w:val="Body Text Char"/>
    <w:basedOn w:val="DefaultParagraphFont"/>
    <w:link w:val="BodyText"/>
    <w:uiPriority w:val="1"/>
    <w:rsid w:val="001D2FF3"/>
    <w:rPr>
      <w:rFonts w:cs="Calibri"/>
    </w:rPr>
  </w:style>
  <w:style w:type="paragraph" w:customStyle="1" w:styleId="TableParagraph">
    <w:name w:val="Table Paragraph"/>
    <w:basedOn w:val="Normal"/>
    <w:uiPriority w:val="1"/>
    <w:qFormat/>
    <w:rsid w:val="00FA6695"/>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7702">
      <w:bodyDiv w:val="1"/>
      <w:marLeft w:val="0"/>
      <w:marRight w:val="0"/>
      <w:marTop w:val="0"/>
      <w:marBottom w:val="0"/>
      <w:divBdr>
        <w:top w:val="none" w:sz="0" w:space="0" w:color="auto"/>
        <w:left w:val="none" w:sz="0" w:space="0" w:color="auto"/>
        <w:bottom w:val="none" w:sz="0" w:space="0" w:color="auto"/>
        <w:right w:val="none" w:sz="0" w:space="0" w:color="auto"/>
      </w:divBdr>
    </w:div>
    <w:div w:id="237984587">
      <w:bodyDiv w:val="1"/>
      <w:marLeft w:val="0"/>
      <w:marRight w:val="0"/>
      <w:marTop w:val="0"/>
      <w:marBottom w:val="0"/>
      <w:divBdr>
        <w:top w:val="none" w:sz="0" w:space="0" w:color="auto"/>
        <w:left w:val="none" w:sz="0" w:space="0" w:color="auto"/>
        <w:bottom w:val="none" w:sz="0" w:space="0" w:color="auto"/>
        <w:right w:val="none" w:sz="0" w:space="0" w:color="auto"/>
      </w:divBdr>
    </w:div>
    <w:div w:id="351029959">
      <w:bodyDiv w:val="1"/>
      <w:marLeft w:val="0"/>
      <w:marRight w:val="0"/>
      <w:marTop w:val="0"/>
      <w:marBottom w:val="0"/>
      <w:divBdr>
        <w:top w:val="none" w:sz="0" w:space="0" w:color="auto"/>
        <w:left w:val="none" w:sz="0" w:space="0" w:color="auto"/>
        <w:bottom w:val="none" w:sz="0" w:space="0" w:color="auto"/>
        <w:right w:val="none" w:sz="0" w:space="0" w:color="auto"/>
      </w:divBdr>
    </w:div>
    <w:div w:id="373651329">
      <w:bodyDiv w:val="1"/>
      <w:marLeft w:val="0"/>
      <w:marRight w:val="0"/>
      <w:marTop w:val="0"/>
      <w:marBottom w:val="0"/>
      <w:divBdr>
        <w:top w:val="none" w:sz="0" w:space="0" w:color="auto"/>
        <w:left w:val="none" w:sz="0" w:space="0" w:color="auto"/>
        <w:bottom w:val="none" w:sz="0" w:space="0" w:color="auto"/>
        <w:right w:val="none" w:sz="0" w:space="0" w:color="auto"/>
      </w:divBdr>
    </w:div>
    <w:div w:id="447552120">
      <w:bodyDiv w:val="1"/>
      <w:marLeft w:val="0"/>
      <w:marRight w:val="0"/>
      <w:marTop w:val="0"/>
      <w:marBottom w:val="0"/>
      <w:divBdr>
        <w:top w:val="none" w:sz="0" w:space="0" w:color="auto"/>
        <w:left w:val="none" w:sz="0" w:space="0" w:color="auto"/>
        <w:bottom w:val="none" w:sz="0" w:space="0" w:color="auto"/>
        <w:right w:val="none" w:sz="0" w:space="0" w:color="auto"/>
      </w:divBdr>
    </w:div>
    <w:div w:id="544872978">
      <w:bodyDiv w:val="1"/>
      <w:marLeft w:val="0"/>
      <w:marRight w:val="0"/>
      <w:marTop w:val="0"/>
      <w:marBottom w:val="0"/>
      <w:divBdr>
        <w:top w:val="none" w:sz="0" w:space="0" w:color="auto"/>
        <w:left w:val="none" w:sz="0" w:space="0" w:color="auto"/>
        <w:bottom w:val="none" w:sz="0" w:space="0" w:color="auto"/>
        <w:right w:val="none" w:sz="0" w:space="0" w:color="auto"/>
      </w:divBdr>
    </w:div>
    <w:div w:id="1533226974">
      <w:bodyDiv w:val="1"/>
      <w:marLeft w:val="0"/>
      <w:marRight w:val="0"/>
      <w:marTop w:val="0"/>
      <w:marBottom w:val="0"/>
      <w:divBdr>
        <w:top w:val="none" w:sz="0" w:space="0" w:color="auto"/>
        <w:left w:val="none" w:sz="0" w:space="0" w:color="auto"/>
        <w:bottom w:val="none" w:sz="0" w:space="0" w:color="auto"/>
        <w:right w:val="none" w:sz="0" w:space="0" w:color="auto"/>
      </w:divBdr>
    </w:div>
    <w:div w:id="1629749338">
      <w:bodyDiv w:val="1"/>
      <w:marLeft w:val="0"/>
      <w:marRight w:val="0"/>
      <w:marTop w:val="0"/>
      <w:marBottom w:val="0"/>
      <w:divBdr>
        <w:top w:val="none" w:sz="0" w:space="0" w:color="auto"/>
        <w:left w:val="none" w:sz="0" w:space="0" w:color="auto"/>
        <w:bottom w:val="none" w:sz="0" w:space="0" w:color="auto"/>
        <w:right w:val="none" w:sz="0" w:space="0" w:color="auto"/>
      </w:divBdr>
    </w:div>
    <w:div w:id="1789469776">
      <w:bodyDiv w:val="1"/>
      <w:marLeft w:val="0"/>
      <w:marRight w:val="0"/>
      <w:marTop w:val="0"/>
      <w:marBottom w:val="0"/>
      <w:divBdr>
        <w:top w:val="none" w:sz="0" w:space="0" w:color="auto"/>
        <w:left w:val="none" w:sz="0" w:space="0" w:color="auto"/>
        <w:bottom w:val="none" w:sz="0" w:space="0" w:color="auto"/>
        <w:right w:val="none" w:sz="0" w:space="0" w:color="auto"/>
      </w:divBdr>
    </w:div>
    <w:div w:id="1892106361">
      <w:bodyDiv w:val="1"/>
      <w:marLeft w:val="0"/>
      <w:marRight w:val="0"/>
      <w:marTop w:val="0"/>
      <w:marBottom w:val="0"/>
      <w:divBdr>
        <w:top w:val="none" w:sz="0" w:space="0" w:color="auto"/>
        <w:left w:val="none" w:sz="0" w:space="0" w:color="auto"/>
        <w:bottom w:val="none" w:sz="0" w:space="0" w:color="auto"/>
        <w:right w:val="none" w:sz="0" w:space="0" w:color="auto"/>
      </w:divBdr>
    </w:div>
    <w:div w:id="1994792199">
      <w:bodyDiv w:val="1"/>
      <w:marLeft w:val="0"/>
      <w:marRight w:val="0"/>
      <w:marTop w:val="0"/>
      <w:marBottom w:val="0"/>
      <w:divBdr>
        <w:top w:val="none" w:sz="0" w:space="0" w:color="auto"/>
        <w:left w:val="none" w:sz="0" w:space="0" w:color="auto"/>
        <w:bottom w:val="none" w:sz="0" w:space="0" w:color="auto"/>
        <w:right w:val="none" w:sz="0" w:space="0" w:color="auto"/>
      </w:divBdr>
    </w:div>
    <w:div w:id="21379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8424E08A56054696D3ADCA5DAA1FF4" ma:contentTypeVersion="14" ma:contentTypeDescription="Create a new document." ma:contentTypeScope="" ma:versionID="ecc1b97a0ac55a28dabc3a2227227bcf">
  <xsd:schema xmlns:xsd="http://www.w3.org/2001/XMLSchema" xmlns:xs="http://www.w3.org/2001/XMLSchema" xmlns:p="http://schemas.microsoft.com/office/2006/metadata/properties" xmlns:ns2="f32a1815-b140-4e1e-8d3e-81e5670cc675" xmlns:ns3="a093371e-c004-4138-9a25-1444b2361c3f" targetNamespace="http://schemas.microsoft.com/office/2006/metadata/properties" ma:root="true" ma:fieldsID="1cb1a4978ea12ca77511710ab33855e6" ns2:_="" ns3:_="">
    <xsd:import namespace="f32a1815-b140-4e1e-8d3e-81e5670cc675"/>
    <xsd:import namespace="a093371e-c004-4138-9a25-1444b2361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a1815-b140-4e1e-8d3e-81e5670cc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da4ee4-c83a-44ff-86c3-130572f85d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93371e-c004-4138-9a25-1444b2361c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c98a5c-5b4e-43a6-93f2-df1264e9368d}" ma:internalName="TaxCatchAll" ma:showField="CatchAllData" ma:web="a093371e-c004-4138-9a25-1444b2361c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2a1815-b140-4e1e-8d3e-81e5670cc675">
      <Terms xmlns="http://schemas.microsoft.com/office/infopath/2007/PartnerControls"/>
    </lcf76f155ced4ddcb4097134ff3c332f>
    <TaxCatchAll xmlns="a093371e-c004-4138-9a25-1444b2361c3f" xsi:nil="true"/>
  </documentManagement>
</p:properties>
</file>

<file path=customXml/itemProps1.xml><?xml version="1.0" encoding="utf-8"?>
<ds:datastoreItem xmlns:ds="http://schemas.openxmlformats.org/officeDocument/2006/customXml" ds:itemID="{2356A290-95EE-4081-AE3A-AFA343D09256}">
  <ds:schemaRefs>
    <ds:schemaRef ds:uri="http://schemas.microsoft.com/sharepoint/v3/contenttype/forms"/>
  </ds:schemaRefs>
</ds:datastoreItem>
</file>

<file path=customXml/itemProps2.xml><?xml version="1.0" encoding="utf-8"?>
<ds:datastoreItem xmlns:ds="http://schemas.openxmlformats.org/officeDocument/2006/customXml" ds:itemID="{26E879DE-2784-4BA4-A3E1-A83C680D7354}">
  <ds:schemaRefs>
    <ds:schemaRef ds:uri="http://schemas.openxmlformats.org/officeDocument/2006/bibliography"/>
  </ds:schemaRefs>
</ds:datastoreItem>
</file>

<file path=customXml/itemProps3.xml><?xml version="1.0" encoding="utf-8"?>
<ds:datastoreItem xmlns:ds="http://schemas.openxmlformats.org/officeDocument/2006/customXml" ds:itemID="{A4EAE471-DEEA-4BC4-B07A-A565E87ABA7F}"/>
</file>

<file path=customXml/itemProps4.xml><?xml version="1.0" encoding="utf-8"?>
<ds:datastoreItem xmlns:ds="http://schemas.openxmlformats.org/officeDocument/2006/customXml" ds:itemID="{45EE9DBA-19D2-41B6-9B33-429BA62A73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2325</Words>
  <Characters>13258</Characters>
  <Application>Microsoft Office Word</Application>
  <DocSecurity>4</DocSecurity>
  <Lines>110</Lines>
  <Paragraphs>31</Paragraphs>
  <ScaleCrop>false</ScaleCrop>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Harding</dc:creator>
  <cp:lastModifiedBy>Charlie Anstiss</cp:lastModifiedBy>
  <cp:revision>2</cp:revision>
  <dcterms:created xsi:type="dcterms:W3CDTF">2023-06-23T10:50:00Z</dcterms:created>
  <dcterms:modified xsi:type="dcterms:W3CDTF">2023-06-23T10:50:00Z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0x010100911F99B42B148940A8BF8D309EFA9AFF</vt:lpwstr>
  </property>
</Properties>
</file>