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C2834" w14:textId="6968879D" w:rsidR="00733ABD" w:rsidRDefault="00190A37" w:rsidP="00190A37">
      <w:pPr>
        <w:spacing w:after="0"/>
        <w:rPr>
          <w:b/>
          <w:bCs/>
        </w:rPr>
      </w:pPr>
      <w:r>
        <w:rPr>
          <w:b/>
          <w:bCs/>
        </w:rPr>
        <w:t xml:space="preserve">Hucknall Neighbourhood Board Meeting (18 September 2026) </w:t>
      </w:r>
    </w:p>
    <w:p w14:paraId="08FCF889" w14:textId="3A3012CD" w:rsidR="00190A37" w:rsidRDefault="39DA2C60" w:rsidP="5BAC5858">
      <w:pPr>
        <w:spacing w:after="0"/>
        <w:rPr>
          <w:b/>
          <w:bCs/>
        </w:rPr>
      </w:pPr>
      <w:r w:rsidRPr="5BAC5858">
        <w:rPr>
          <w:b/>
          <w:bCs/>
        </w:rPr>
        <w:t xml:space="preserve">Accessible Detailed Summary </w:t>
      </w:r>
      <w:r w:rsidR="6947C5F9" w:rsidRPr="5BAC5858">
        <w:rPr>
          <w:b/>
          <w:bCs/>
        </w:rPr>
        <w:t>of the</w:t>
      </w:r>
      <w:r w:rsidRPr="5BAC5858">
        <w:rPr>
          <w:b/>
          <w:bCs/>
        </w:rPr>
        <w:t xml:space="preserve"> </w:t>
      </w:r>
      <w:r w:rsidR="7A43E15A" w:rsidRPr="5BAC5858">
        <w:rPr>
          <w:b/>
          <w:bCs/>
        </w:rPr>
        <w:t>PowerPoint p</w:t>
      </w:r>
      <w:r w:rsidRPr="5BAC5858">
        <w:rPr>
          <w:b/>
          <w:bCs/>
        </w:rPr>
        <w:t>resentation</w:t>
      </w:r>
      <w:r w:rsidR="59F67F51" w:rsidRPr="5BAC5858">
        <w:rPr>
          <w:b/>
          <w:bCs/>
        </w:rPr>
        <w:t xml:space="preserve"> made to the Board </w:t>
      </w:r>
    </w:p>
    <w:p w14:paraId="71419CAD" w14:textId="77777777" w:rsidR="00190A37" w:rsidRDefault="00190A37">
      <w:pPr>
        <w:rPr>
          <w:b/>
          <w:bCs/>
        </w:rPr>
      </w:pPr>
    </w:p>
    <w:p w14:paraId="546D16D7" w14:textId="1F1FA433" w:rsidR="00190A37" w:rsidRDefault="00190A37">
      <w:pPr>
        <w:rPr>
          <w:b/>
          <w:bCs/>
          <w:u w:val="single"/>
        </w:rPr>
      </w:pPr>
      <w:r>
        <w:rPr>
          <w:b/>
          <w:bCs/>
          <w:u w:val="single"/>
        </w:rPr>
        <w:t>Introduction</w:t>
      </w:r>
    </w:p>
    <w:p w14:paraId="1E3336A0" w14:textId="6D185D4C" w:rsidR="00190A37" w:rsidRDefault="00190A37">
      <w:r>
        <w:t xml:space="preserve">The Hucknall Pride in Place programme is a long-term opportunity to invest up to £20 million in Hucknall over 10 years. </w:t>
      </w:r>
      <w:proofErr w:type="gramStart"/>
      <w:r>
        <w:t>Local residents</w:t>
      </w:r>
      <w:proofErr w:type="gramEnd"/>
      <w:r>
        <w:t xml:space="preserve">, community organisations and partners will help determine the priorities for this investment. </w:t>
      </w:r>
    </w:p>
    <w:p w14:paraId="3BAC72BA" w14:textId="491E97D6" w:rsidR="00190A37" w:rsidRPr="00B32195" w:rsidRDefault="00190A37" w:rsidP="00190A37">
      <w:r>
        <w:t xml:space="preserve">The programme aims to create thriving places, strengthen communities and </w:t>
      </w:r>
      <w:r w:rsidRPr="00B32195">
        <w:t>give residents greater influence over local investment decisions. Funding may support both physical improvement</w:t>
      </w:r>
      <w:r>
        <w:t xml:space="preserve">s, </w:t>
      </w:r>
      <w:r w:rsidRPr="00B32195">
        <w:t>such as parks, buildings and public spaces</w:t>
      </w:r>
      <w:r>
        <w:t>, b</w:t>
      </w:r>
      <w:r w:rsidRPr="00B32195">
        <w:t xml:space="preserve">and community activities, including youth programmes, health initiatives, events and skills projects. </w:t>
      </w:r>
    </w:p>
    <w:p w14:paraId="3EB0A784" w14:textId="104C8DDB" w:rsidR="00190A37" w:rsidRDefault="00190A37" w:rsidP="00190A37">
      <w:r w:rsidRPr="00B32195">
        <w:t xml:space="preserve">This presentation was prepared for the inaugural Hucknall Pride in Place Neighbourhood Board meeting on </w:t>
      </w:r>
      <w:r>
        <w:t xml:space="preserve">Friday, </w:t>
      </w:r>
      <w:r w:rsidRPr="00190A37">
        <w:t>18 September 2026.</w:t>
      </w:r>
      <w:r w:rsidRPr="00B32195">
        <w:t xml:space="preserve"> The meeting introduced the programme, established how the Board would operate and considered the evidence and early community feedback that will inform the Pride in Place Plan. The information below provides an accessible, slide-by-slide account of the presentation.</w:t>
      </w:r>
    </w:p>
    <w:p w14:paraId="2ABF0E40" w14:textId="7AFE4513" w:rsidR="00190A37" w:rsidRDefault="00190A37" w:rsidP="00190A37">
      <w:pPr>
        <w:rPr>
          <w:b/>
          <w:bCs/>
          <w:u w:val="single"/>
        </w:rPr>
      </w:pPr>
      <w:r>
        <w:rPr>
          <w:b/>
          <w:bCs/>
          <w:u w:val="single"/>
        </w:rPr>
        <w:t>Slide 1 – Welcome and Purpose of the Meeting</w:t>
      </w:r>
    </w:p>
    <w:p w14:paraId="6DC39379" w14:textId="51A70A8C" w:rsidR="00190A37" w:rsidRDefault="00190A37" w:rsidP="00190A37">
      <w:r>
        <w:t xml:space="preserve">The first Neighbourhood Board meeting marked the beginning of the Hucknall Pride in Place programme. The meeting focused on welcoming Board members, introducing the programme and beginning to establish the foundations for the next 10 years. Over that period, the Board will help shape how up to £20 million is used to deliver lasting benefits for Hucknall’s residents and communities. </w:t>
      </w:r>
    </w:p>
    <w:p w14:paraId="09DFC827" w14:textId="67823B63" w:rsidR="00190A37" w:rsidRDefault="00190A37" w:rsidP="00190A37">
      <w:pPr>
        <w:rPr>
          <w:b/>
          <w:bCs/>
          <w:u w:val="single"/>
        </w:rPr>
      </w:pPr>
      <w:r>
        <w:rPr>
          <w:b/>
          <w:bCs/>
          <w:u w:val="single"/>
        </w:rPr>
        <w:t>Slide 2 – Meeting Agenda</w:t>
      </w:r>
    </w:p>
    <w:p w14:paraId="05A69597" w14:textId="3A87798E" w:rsidR="00190A37" w:rsidRDefault="00190A37" w:rsidP="00190A37">
      <w:r>
        <w:t>The meeting was divided into five sections:</w:t>
      </w:r>
    </w:p>
    <w:p w14:paraId="48F0B030" w14:textId="7174A041" w:rsidR="00190A37" w:rsidRDefault="00190A37" w:rsidP="00190A37">
      <w:pPr>
        <w:pStyle w:val="ListParagraph"/>
        <w:numPr>
          <w:ilvl w:val="0"/>
          <w:numId w:val="1"/>
        </w:numPr>
      </w:pPr>
      <w:r>
        <w:t xml:space="preserve">Welcome and introductions, including an introductory exercise. </w:t>
      </w:r>
    </w:p>
    <w:p w14:paraId="6098F365" w14:textId="57294BE5" w:rsidR="00190A37" w:rsidRDefault="00190A37" w:rsidP="00190A37">
      <w:pPr>
        <w:pStyle w:val="ListParagraph"/>
        <w:numPr>
          <w:ilvl w:val="0"/>
          <w:numId w:val="1"/>
        </w:numPr>
      </w:pPr>
      <w:r>
        <w:t xml:space="preserve">Governance, covering roles and responsibilities, the Board’s Terms of Reference, Declarations of Interest and the Code of Conduct. </w:t>
      </w:r>
    </w:p>
    <w:p w14:paraId="551A4A18" w14:textId="14860D45" w:rsidR="00190A37" w:rsidRDefault="00190A37" w:rsidP="00190A37">
      <w:pPr>
        <w:pStyle w:val="ListParagraph"/>
        <w:numPr>
          <w:ilvl w:val="0"/>
          <w:numId w:val="1"/>
        </w:numPr>
      </w:pPr>
      <w:r>
        <w:t xml:space="preserve">Programme overview, including the programme boundary, available data, key milestones and emerging themes. </w:t>
      </w:r>
    </w:p>
    <w:p w14:paraId="581AEA78" w14:textId="77777777" w:rsidR="00190A37" w:rsidRDefault="00190A37" w:rsidP="00190A37">
      <w:pPr>
        <w:pStyle w:val="ListParagraph"/>
        <w:numPr>
          <w:ilvl w:val="0"/>
          <w:numId w:val="2"/>
        </w:numPr>
      </w:pPr>
      <w:r w:rsidRPr="00190A37">
        <w:t>Community engagement,</w:t>
      </w:r>
      <w:r w:rsidRPr="00B32195">
        <w:t xml:space="preserve"> covering activity completed so far, possible community engagement grants or projects, and a proposed Meet the Board event. </w:t>
      </w:r>
    </w:p>
    <w:p w14:paraId="578BDD8E" w14:textId="1BA1EA51" w:rsidR="00190A37" w:rsidRPr="00B32195" w:rsidRDefault="00190A37" w:rsidP="00190A37">
      <w:pPr>
        <w:pStyle w:val="ListParagraph"/>
        <w:numPr>
          <w:ilvl w:val="0"/>
          <w:numId w:val="2"/>
        </w:numPr>
      </w:pPr>
      <w:r w:rsidRPr="00190A37">
        <w:t>Future meetings,</w:t>
      </w:r>
      <w:r w:rsidRPr="00B32195">
        <w:t xml:space="preserve"> including meeting frequency and practical arrangements. </w:t>
      </w:r>
    </w:p>
    <w:p w14:paraId="2BBF66FB" w14:textId="2DA6EE68" w:rsidR="00190A37" w:rsidRPr="00B32195" w:rsidRDefault="00190A37" w:rsidP="00190A37">
      <w:r w:rsidRPr="00B32195">
        <w:t xml:space="preserve">The intended outcomes were a shared understanding of the programme, confirmed governance arrangements and clear next steps. </w:t>
      </w:r>
    </w:p>
    <w:p w14:paraId="23A75C03" w14:textId="4C1CC4B2" w:rsidR="00190A37" w:rsidRDefault="00190A37" w:rsidP="00190A37">
      <w:pPr>
        <w:rPr>
          <w:b/>
          <w:bCs/>
          <w:u w:val="single"/>
        </w:rPr>
      </w:pPr>
      <w:r>
        <w:rPr>
          <w:b/>
          <w:bCs/>
          <w:u w:val="single"/>
        </w:rPr>
        <w:t>Slide 3 – Intended Outcomes</w:t>
      </w:r>
    </w:p>
    <w:p w14:paraId="1289EE73" w14:textId="2F5AAD0D" w:rsidR="00190A37" w:rsidRDefault="00190A37" w:rsidP="00190A37">
      <w:r w:rsidRPr="00B32195">
        <w:t>The meeting aimed to introduce the Neighbourhood Board and explain the Pride in Place programme</w:t>
      </w:r>
      <w:r>
        <w:t>.</w:t>
      </w:r>
      <w:r w:rsidRPr="00190A37">
        <w:t xml:space="preserve"> </w:t>
      </w:r>
      <w:r w:rsidRPr="00B32195">
        <w:t>Members were also asked to review the available evidence, understand the community engagement completed so far, identify emerging themes and discuss the next steps. The meeting was not intended to select individual projects. Its purpose was to develop the Board, evidence and potential priorities needed to prepare a strong long-term plan.</w:t>
      </w:r>
    </w:p>
    <w:p w14:paraId="3450FE86" w14:textId="75809418" w:rsidR="00190A37" w:rsidRDefault="00190A37" w:rsidP="00190A37">
      <w:pPr>
        <w:rPr>
          <w:b/>
          <w:bCs/>
          <w:u w:val="single"/>
        </w:rPr>
      </w:pPr>
      <w:r>
        <w:rPr>
          <w:b/>
          <w:bCs/>
          <w:u w:val="single"/>
        </w:rPr>
        <w:t>Slide 4 – Governance &amp; Responsibilities</w:t>
      </w:r>
    </w:p>
    <w:p w14:paraId="7FD18E1B" w14:textId="70A61AAF" w:rsidR="00190A37" w:rsidRDefault="00190A37" w:rsidP="00190A37">
      <w:r w:rsidRPr="00B32195">
        <w:lastRenderedPageBreak/>
        <w:t xml:space="preserve">The </w:t>
      </w:r>
      <w:r w:rsidRPr="00190A37">
        <w:t>Neighbourhood Board</w:t>
      </w:r>
      <w:r w:rsidRPr="00B32195">
        <w:t xml:space="preserve"> will lead the programme’s vision and plan, align investment with community priorities, and work with residents and partners to deliver and monitor projects. </w:t>
      </w:r>
      <w:r w:rsidRPr="00190A37">
        <w:t>Ashfield District Council</w:t>
      </w:r>
      <w:r w:rsidRPr="00B32195">
        <w:t xml:space="preserve"> is the accountable body for the programme. This means it is responsible for financial management, governance, administration, reporting, programme management and support for project development and delivery. The local </w:t>
      </w:r>
      <w:r w:rsidRPr="00190A37">
        <w:t>Member of Parliament is</w:t>
      </w:r>
      <w:r w:rsidRPr="00B32195">
        <w:t xml:space="preserve"> a Board member and will champion community priorities, support engagement and promote the programme locally and nationally. The Board’s work will be guided by community-led decision-making, transparency, accountability, collaboration, openness and integrity. </w:t>
      </w:r>
    </w:p>
    <w:p w14:paraId="69C026BB" w14:textId="0AFD3F92" w:rsidR="00190A37" w:rsidRDefault="00190A37" w:rsidP="00190A37">
      <w:pPr>
        <w:rPr>
          <w:b/>
          <w:bCs/>
          <w:u w:val="single"/>
        </w:rPr>
      </w:pPr>
      <w:r>
        <w:rPr>
          <w:b/>
          <w:bCs/>
          <w:u w:val="single"/>
        </w:rPr>
        <w:t>Slide 5 – The Investment Opportunity</w:t>
      </w:r>
    </w:p>
    <w:p w14:paraId="700D80EA" w14:textId="795ED1CC" w:rsidR="00190A37" w:rsidRPr="00190A37" w:rsidRDefault="00190A37" w:rsidP="00190A37">
      <w:r w:rsidRPr="00B32195">
        <w:t xml:space="preserve">The Pride in Place programme offers Hucknall up to </w:t>
      </w:r>
      <w:r w:rsidRPr="00190A37">
        <w:t xml:space="preserve">£20 million over 10 years. </w:t>
      </w:r>
    </w:p>
    <w:p w14:paraId="51177BEE" w14:textId="77777777" w:rsidR="00190A37" w:rsidRPr="00B32195" w:rsidRDefault="00190A37" w:rsidP="00190A37">
      <w:r w:rsidRPr="00B32195">
        <w:t>Its three broad objectives are:</w:t>
      </w:r>
    </w:p>
    <w:p w14:paraId="0CFA3B19" w14:textId="53435E6A" w:rsidR="00190A37" w:rsidRPr="00190A37" w:rsidRDefault="00190A37" w:rsidP="00190A37">
      <w:pPr>
        <w:numPr>
          <w:ilvl w:val="0"/>
          <w:numId w:val="3"/>
        </w:numPr>
      </w:pPr>
      <w:r w:rsidRPr="00190A37">
        <w:t xml:space="preserve">Creating thriving places and lasting local change. </w:t>
      </w:r>
    </w:p>
    <w:p w14:paraId="76B9D531" w14:textId="5A89E4D1" w:rsidR="00190A37" w:rsidRPr="00190A37" w:rsidRDefault="00190A37" w:rsidP="00190A37">
      <w:pPr>
        <w:numPr>
          <w:ilvl w:val="0"/>
          <w:numId w:val="3"/>
        </w:numPr>
      </w:pPr>
      <w:r w:rsidRPr="00190A37">
        <w:t xml:space="preserve">Developing stronger communities, priorities and partnerships. </w:t>
      </w:r>
    </w:p>
    <w:p w14:paraId="5234B1F6" w14:textId="771C1DBC" w:rsidR="00190A37" w:rsidRPr="00190A37" w:rsidRDefault="00190A37" w:rsidP="00190A37">
      <w:pPr>
        <w:numPr>
          <w:ilvl w:val="0"/>
          <w:numId w:val="3"/>
        </w:numPr>
      </w:pPr>
      <w:r w:rsidRPr="00190A37">
        <w:t xml:space="preserve">Giving residents greater control over local investment decisions. </w:t>
      </w:r>
    </w:p>
    <w:p w14:paraId="5CB689CE" w14:textId="21DDD1EA" w:rsidR="00190A37" w:rsidRDefault="00190A37" w:rsidP="00190A37">
      <w:r w:rsidRPr="00B32195">
        <w:t xml:space="preserve">The funding is divided between approximately </w:t>
      </w:r>
      <w:r w:rsidRPr="00190A37">
        <w:t xml:space="preserve">£12.4 million of capital funding and £7.2 million of revenue funding. </w:t>
      </w:r>
      <w:r w:rsidRPr="00B32195">
        <w:t xml:space="preserve">Capital funding generally pays for physical assets and improvements, while revenue funding supports activities, staffing, engagement and programme delivery. </w:t>
      </w:r>
    </w:p>
    <w:p w14:paraId="73BA982E" w14:textId="65F11B0D" w:rsidR="00190A37" w:rsidRDefault="00190A37" w:rsidP="00190A37">
      <w:pPr>
        <w:rPr>
          <w:b/>
          <w:bCs/>
          <w:u w:val="single"/>
        </w:rPr>
      </w:pPr>
      <w:r>
        <w:rPr>
          <w:b/>
          <w:bCs/>
          <w:u w:val="single"/>
        </w:rPr>
        <w:t>Slide 6 – Funding Timetable</w:t>
      </w:r>
    </w:p>
    <w:p w14:paraId="137B3C71" w14:textId="3F906775" w:rsidR="00190A37" w:rsidRPr="00B32195" w:rsidRDefault="00190A37" w:rsidP="00190A37">
      <w:r w:rsidRPr="00B32195">
        <w:t xml:space="preserve">The Phase 2 funding profile totals </w:t>
      </w:r>
      <w:r w:rsidRPr="00190A37">
        <w:t xml:space="preserve">£19.6 million, consisting of £12.426 million in capital funding and £7.174 million in revenue funding. </w:t>
      </w:r>
      <w:r w:rsidRPr="00B32195">
        <w:t xml:space="preserve">Approximately </w:t>
      </w:r>
      <w:r w:rsidRPr="00190A37">
        <w:t>63%</w:t>
      </w:r>
      <w:r w:rsidRPr="00B32195">
        <w:t xml:space="preserve"> is capital funding for buildings, public spaces and infrastructure, while </w:t>
      </w:r>
      <w:r w:rsidRPr="00190A37">
        <w:t>37%</w:t>
      </w:r>
      <w:r w:rsidRPr="00B32195">
        <w:t xml:space="preserve"> is revenue funding for community activity, engagement, staffing and project delivery. </w:t>
      </w:r>
    </w:p>
    <w:p w14:paraId="79CA8454" w14:textId="77777777" w:rsidR="00190A37" w:rsidRPr="00B32195" w:rsidRDefault="00190A37" w:rsidP="00190A37">
      <w:r w:rsidRPr="00B32195">
        <w:t>Funding begins at a comparatively low level before increasing:</w:t>
      </w:r>
    </w:p>
    <w:p w14:paraId="69437D14" w14:textId="332737A5" w:rsidR="00190A37" w:rsidRPr="00B32195" w:rsidRDefault="00190A37" w:rsidP="00190A37">
      <w:pPr>
        <w:numPr>
          <w:ilvl w:val="0"/>
          <w:numId w:val="4"/>
        </w:numPr>
      </w:pPr>
      <w:r w:rsidRPr="00B32195">
        <w:rPr>
          <w:b/>
          <w:bCs/>
        </w:rPr>
        <w:t>2025/26:</w:t>
      </w:r>
      <w:r w:rsidRPr="00B32195">
        <w:t xml:space="preserve"> £150,000. </w:t>
      </w:r>
    </w:p>
    <w:p w14:paraId="5D225E20" w14:textId="028E73E3" w:rsidR="00190A37" w:rsidRPr="00B32195" w:rsidRDefault="00190A37" w:rsidP="00190A37">
      <w:pPr>
        <w:numPr>
          <w:ilvl w:val="0"/>
          <w:numId w:val="4"/>
        </w:numPr>
      </w:pPr>
      <w:r w:rsidRPr="00B32195">
        <w:rPr>
          <w:b/>
          <w:bCs/>
        </w:rPr>
        <w:t>2026/27:</w:t>
      </w:r>
      <w:r w:rsidRPr="00B32195">
        <w:t xml:space="preserve"> £391,000. </w:t>
      </w:r>
    </w:p>
    <w:p w14:paraId="0A81E71E" w14:textId="2E006EC2" w:rsidR="00190A37" w:rsidRPr="00B32195" w:rsidRDefault="00190A37" w:rsidP="00190A37">
      <w:pPr>
        <w:numPr>
          <w:ilvl w:val="0"/>
          <w:numId w:val="4"/>
        </w:numPr>
      </w:pPr>
      <w:r w:rsidRPr="00B32195">
        <w:rPr>
          <w:b/>
          <w:bCs/>
        </w:rPr>
        <w:t>2027/28:</w:t>
      </w:r>
      <w:r w:rsidRPr="00B32195">
        <w:t xml:space="preserve"> approximately £1.36 million. </w:t>
      </w:r>
    </w:p>
    <w:p w14:paraId="348C162F" w14:textId="61A5D128" w:rsidR="00190A37" w:rsidRPr="00B32195" w:rsidRDefault="00190A37" w:rsidP="00190A37">
      <w:pPr>
        <w:numPr>
          <w:ilvl w:val="0"/>
          <w:numId w:val="4"/>
        </w:numPr>
      </w:pPr>
      <w:r w:rsidRPr="00B32195">
        <w:rPr>
          <w:b/>
          <w:bCs/>
        </w:rPr>
        <w:t>2028/29:</w:t>
      </w:r>
      <w:r w:rsidRPr="00B32195">
        <w:t xml:space="preserve"> approximately £2.15 million. </w:t>
      </w:r>
    </w:p>
    <w:p w14:paraId="7D3BC9F5" w14:textId="3155E3B8" w:rsidR="00190A37" w:rsidRPr="00B32195" w:rsidRDefault="00190A37" w:rsidP="00190A37">
      <w:pPr>
        <w:numPr>
          <w:ilvl w:val="0"/>
          <w:numId w:val="4"/>
        </w:numPr>
      </w:pPr>
      <w:r w:rsidRPr="00B32195">
        <w:rPr>
          <w:b/>
          <w:bCs/>
        </w:rPr>
        <w:t>2029/30 to 2035/36:</w:t>
      </w:r>
      <w:r w:rsidRPr="00B32195">
        <w:t xml:space="preserve"> approximately £2.22 million each year. </w:t>
      </w:r>
    </w:p>
    <w:p w14:paraId="79BFC7BE" w14:textId="470DCACE" w:rsidR="00190A37" w:rsidRDefault="00190A37" w:rsidP="00190A37">
      <w:r w:rsidRPr="00B32195">
        <w:t xml:space="preserve">Funding will be released annually, and allocations after 2028/29 remain subject to future government spending reviews. </w:t>
      </w:r>
    </w:p>
    <w:p w14:paraId="28143094" w14:textId="67F92170" w:rsidR="00190A37" w:rsidRDefault="00190A37" w:rsidP="00190A37">
      <w:pPr>
        <w:rPr>
          <w:b/>
          <w:bCs/>
          <w:u w:val="single"/>
        </w:rPr>
      </w:pPr>
      <w:r>
        <w:rPr>
          <w:b/>
          <w:bCs/>
          <w:u w:val="single"/>
        </w:rPr>
        <w:t>Slide 7 – Eligible Uses of Funding</w:t>
      </w:r>
    </w:p>
    <w:p w14:paraId="68C2AE44" w14:textId="77777777" w:rsidR="00190A37" w:rsidRPr="00B32195" w:rsidRDefault="00190A37" w:rsidP="00190A37">
      <w:r w:rsidRPr="00B32195">
        <w:t>Capital funding could support:</w:t>
      </w:r>
    </w:p>
    <w:p w14:paraId="0FA443B1" w14:textId="6F8A1954" w:rsidR="00190A37" w:rsidRPr="00B32195" w:rsidRDefault="00190A37" w:rsidP="00190A37">
      <w:pPr>
        <w:numPr>
          <w:ilvl w:val="0"/>
          <w:numId w:val="5"/>
        </w:numPr>
      </w:pPr>
      <w:r w:rsidRPr="00B32195">
        <w:t xml:space="preserve">Community buildings and facilities. </w:t>
      </w:r>
    </w:p>
    <w:p w14:paraId="2BC5A0BD" w14:textId="1FFA9325" w:rsidR="00190A37" w:rsidRPr="00B32195" w:rsidRDefault="00190A37" w:rsidP="00190A37">
      <w:pPr>
        <w:numPr>
          <w:ilvl w:val="0"/>
          <w:numId w:val="5"/>
        </w:numPr>
      </w:pPr>
      <w:r w:rsidRPr="00B32195">
        <w:t xml:space="preserve">Parks, play areas and green spaces. </w:t>
      </w:r>
    </w:p>
    <w:p w14:paraId="57B4386B" w14:textId="6AEBAE02" w:rsidR="00190A37" w:rsidRPr="00B32195" w:rsidRDefault="00190A37" w:rsidP="00190A37">
      <w:pPr>
        <w:numPr>
          <w:ilvl w:val="0"/>
          <w:numId w:val="5"/>
        </w:numPr>
      </w:pPr>
      <w:r w:rsidRPr="00B32195">
        <w:t xml:space="preserve">Town-centre and public-space improvements. </w:t>
      </w:r>
    </w:p>
    <w:p w14:paraId="37E53ED5" w14:textId="6E7F6C13" w:rsidR="00190A37" w:rsidRPr="00B32195" w:rsidRDefault="00190A37" w:rsidP="00190A37">
      <w:pPr>
        <w:numPr>
          <w:ilvl w:val="0"/>
          <w:numId w:val="5"/>
        </w:numPr>
      </w:pPr>
      <w:r w:rsidRPr="00B32195">
        <w:lastRenderedPageBreak/>
        <w:t xml:space="preserve">Community, heritage and cultural assets. </w:t>
      </w:r>
    </w:p>
    <w:p w14:paraId="70A842AC" w14:textId="2F4FA6E8" w:rsidR="00190A37" w:rsidRPr="00B32195" w:rsidRDefault="00190A37" w:rsidP="00190A37">
      <w:pPr>
        <w:numPr>
          <w:ilvl w:val="0"/>
          <w:numId w:val="5"/>
        </w:numPr>
      </w:pPr>
      <w:r w:rsidRPr="00B32195">
        <w:t>Sports and recreation facilities.</w:t>
      </w:r>
    </w:p>
    <w:p w14:paraId="0212C3C3" w14:textId="1DC2E00F" w:rsidR="00190A37" w:rsidRPr="00B32195" w:rsidRDefault="00190A37" w:rsidP="00190A37">
      <w:pPr>
        <w:numPr>
          <w:ilvl w:val="0"/>
          <w:numId w:val="5"/>
        </w:numPr>
      </w:pPr>
      <w:r w:rsidRPr="00B32195">
        <w:t xml:space="preserve">Infrastructure supporting regeneration and community use. </w:t>
      </w:r>
    </w:p>
    <w:p w14:paraId="24ECCC4F" w14:textId="77777777" w:rsidR="00190A37" w:rsidRPr="00B32195" w:rsidRDefault="00190A37" w:rsidP="00190A37">
      <w:r w:rsidRPr="00B32195">
        <w:t>Revenue funding could support:</w:t>
      </w:r>
    </w:p>
    <w:p w14:paraId="2B66BC95" w14:textId="581A67C1" w:rsidR="00190A37" w:rsidRPr="00B32195" w:rsidRDefault="00190A37" w:rsidP="00190A37">
      <w:pPr>
        <w:numPr>
          <w:ilvl w:val="0"/>
          <w:numId w:val="6"/>
        </w:numPr>
      </w:pPr>
      <w:r w:rsidRPr="00B32195">
        <w:t xml:space="preserve">Community engagement, consultation and events. </w:t>
      </w:r>
    </w:p>
    <w:p w14:paraId="1F5D6E5B" w14:textId="080B3BD2" w:rsidR="00190A37" w:rsidRPr="00B32195" w:rsidRDefault="00190A37" w:rsidP="00190A37">
      <w:pPr>
        <w:numPr>
          <w:ilvl w:val="0"/>
          <w:numId w:val="6"/>
        </w:numPr>
      </w:pPr>
      <w:r w:rsidRPr="00B32195">
        <w:t xml:space="preserve">Youth, health and wellbeing programmes. </w:t>
      </w:r>
    </w:p>
    <w:p w14:paraId="5E5F64CF" w14:textId="32029F90" w:rsidR="00190A37" w:rsidRPr="00B32195" w:rsidRDefault="00190A37" w:rsidP="00190A37">
      <w:pPr>
        <w:numPr>
          <w:ilvl w:val="0"/>
          <w:numId w:val="6"/>
        </w:numPr>
      </w:pPr>
      <w:r w:rsidRPr="00B32195">
        <w:t xml:space="preserve">Skills and employment projects. </w:t>
      </w:r>
    </w:p>
    <w:p w14:paraId="0CAB4B8B" w14:textId="29B01A9A" w:rsidR="00190A37" w:rsidRPr="00B32195" w:rsidRDefault="00190A37" w:rsidP="00190A37">
      <w:pPr>
        <w:numPr>
          <w:ilvl w:val="0"/>
          <w:numId w:val="6"/>
        </w:numPr>
      </w:pPr>
      <w:r w:rsidRPr="00B32195">
        <w:t xml:space="preserve">Volunteering and community development. </w:t>
      </w:r>
    </w:p>
    <w:p w14:paraId="227DCE04" w14:textId="63F93DC4" w:rsidR="00190A37" w:rsidRPr="00B32195" w:rsidRDefault="00190A37" w:rsidP="00190A37">
      <w:pPr>
        <w:numPr>
          <w:ilvl w:val="0"/>
          <w:numId w:val="6"/>
        </w:numPr>
      </w:pPr>
      <w:r w:rsidRPr="00B32195">
        <w:t xml:space="preserve">Support for local community groups. </w:t>
      </w:r>
    </w:p>
    <w:p w14:paraId="4F5543F9" w14:textId="6BC36E67" w:rsidR="00190A37" w:rsidRPr="00B32195" w:rsidRDefault="00190A37" w:rsidP="00190A37">
      <w:pPr>
        <w:numPr>
          <w:ilvl w:val="0"/>
          <w:numId w:val="6"/>
        </w:numPr>
      </w:pPr>
      <w:r w:rsidRPr="00B32195">
        <w:t xml:space="preserve">Staffing, feasibility studies and project-development work. </w:t>
      </w:r>
    </w:p>
    <w:p w14:paraId="151D7D1A" w14:textId="436F5C54" w:rsidR="00190A37" w:rsidRDefault="00190A37" w:rsidP="00190A37">
      <w:r w:rsidRPr="00B32195">
        <w:t xml:space="preserve">This flexibility allows the Board to combine physical regeneration with activities that support people and communities. </w:t>
      </w:r>
    </w:p>
    <w:p w14:paraId="08DA4F25" w14:textId="6ECCE404" w:rsidR="00190A37" w:rsidRDefault="00190A37" w:rsidP="00190A37">
      <w:pPr>
        <w:rPr>
          <w:b/>
          <w:bCs/>
          <w:u w:val="single"/>
        </w:rPr>
      </w:pPr>
      <w:r>
        <w:rPr>
          <w:b/>
          <w:bCs/>
          <w:u w:val="single"/>
        </w:rPr>
        <w:t>Slide 8 – Hucknall Programme Boundary</w:t>
      </w:r>
    </w:p>
    <w:p w14:paraId="0162F0F6" w14:textId="6393FE51" w:rsidR="00190A37" w:rsidRDefault="00190A37" w:rsidP="00190A37">
      <w:r w:rsidRPr="00B32195">
        <w:t>The agreed boundary reflects how residents live, work and access services. It includes important community facilities, neighbourhood centres, the town centre, Broomhill and Butler’s Hill.</w:t>
      </w:r>
      <w:r>
        <w:t xml:space="preserve"> </w:t>
      </w:r>
      <w:r w:rsidRPr="00B32195">
        <w:t xml:space="preserve">Approximately </w:t>
      </w:r>
      <w:r w:rsidRPr="00B32195">
        <w:rPr>
          <w:b/>
          <w:bCs/>
        </w:rPr>
        <w:t>12,000 residents</w:t>
      </w:r>
      <w:r w:rsidRPr="00B32195">
        <w:t xml:space="preserve"> live within the boundary. Including the town centre recognises its role as a centre for employment, services and community activity. The boundary also creates a connected area in which the programme can address deprivation and inequality. Although a formal boundary exists, the Board may fund activity outside it when there is a clear benefit for residents living within the programme area. </w:t>
      </w:r>
    </w:p>
    <w:p w14:paraId="6A310730" w14:textId="25F05AF7" w:rsidR="00190A37" w:rsidRDefault="00190A37" w:rsidP="00190A37">
      <w:pPr>
        <w:rPr>
          <w:b/>
          <w:bCs/>
          <w:u w:val="single"/>
        </w:rPr>
      </w:pPr>
      <w:r>
        <w:rPr>
          <w:b/>
          <w:bCs/>
          <w:u w:val="single"/>
        </w:rPr>
        <w:t>Slide 9 – Programme Milestones</w:t>
      </w:r>
    </w:p>
    <w:p w14:paraId="490EFD53" w14:textId="63EABABC" w:rsidR="00190A37" w:rsidRPr="00B32195" w:rsidRDefault="00190A37" w:rsidP="00190A37">
      <w:r w:rsidRPr="00B32195">
        <w:t xml:space="preserve">Work completed by the time of the meeting included initial engagement, preparation of an engagement plan and establishment of the Neighbourhood Board. The Board membership and boundary were submitted to the Ministry of Housing, Communities and Local Government on </w:t>
      </w:r>
      <w:r w:rsidRPr="00B32195">
        <w:rPr>
          <w:b/>
          <w:bCs/>
        </w:rPr>
        <w:t>28 August 2026</w:t>
      </w:r>
      <w:r w:rsidRPr="00B32195">
        <w:t xml:space="preserve">. Current activity included the community survey, wider engagement and development of the Board’s governance arrangements. </w:t>
      </w:r>
    </w:p>
    <w:p w14:paraId="5F194293" w14:textId="4C9D03FC" w:rsidR="00190A37" w:rsidRPr="00B32195" w:rsidRDefault="00190A37" w:rsidP="00190A37">
      <w:r w:rsidRPr="00B32195">
        <w:t>The key dates presented were</w:t>
      </w:r>
      <w:r>
        <w:t>:</w:t>
      </w:r>
    </w:p>
    <w:p w14:paraId="671BF10B" w14:textId="5E16CE54" w:rsidR="00190A37" w:rsidRPr="00B32195" w:rsidRDefault="00190A37" w:rsidP="00190A37">
      <w:pPr>
        <w:numPr>
          <w:ilvl w:val="0"/>
          <w:numId w:val="7"/>
        </w:numPr>
      </w:pPr>
      <w:r w:rsidRPr="00B32195">
        <w:t xml:space="preserve">Survey closing date: </w:t>
      </w:r>
      <w:r w:rsidRPr="00B32195">
        <w:rPr>
          <w:b/>
          <w:bCs/>
        </w:rPr>
        <w:t>18 September 2026</w:t>
      </w:r>
      <w:r w:rsidRPr="00B32195">
        <w:t xml:space="preserve">. </w:t>
      </w:r>
    </w:p>
    <w:p w14:paraId="35FB2590" w14:textId="2BF660F5" w:rsidR="00190A37" w:rsidRPr="00B32195" w:rsidRDefault="00190A37" w:rsidP="00190A37">
      <w:pPr>
        <w:numPr>
          <w:ilvl w:val="0"/>
          <w:numId w:val="7"/>
        </w:numPr>
      </w:pPr>
      <w:r w:rsidRPr="00B32195">
        <w:t xml:space="preserve">Analysis of engagement findings: </w:t>
      </w:r>
      <w:r w:rsidRPr="00B32195">
        <w:rPr>
          <w:b/>
          <w:bCs/>
        </w:rPr>
        <w:t>September and October 2026</w:t>
      </w:r>
      <w:r w:rsidRPr="00B32195">
        <w:t xml:space="preserve">. </w:t>
      </w:r>
    </w:p>
    <w:p w14:paraId="7EDCD4BC" w14:textId="25F254D2" w:rsidR="00190A37" w:rsidRPr="00B32195" w:rsidRDefault="00190A37" w:rsidP="00190A37">
      <w:pPr>
        <w:numPr>
          <w:ilvl w:val="0"/>
          <w:numId w:val="7"/>
        </w:numPr>
      </w:pPr>
      <w:r w:rsidRPr="00B32195">
        <w:t xml:space="preserve">Launch of Phase 2 consultation: </w:t>
      </w:r>
      <w:r w:rsidRPr="00B32195">
        <w:rPr>
          <w:b/>
          <w:bCs/>
        </w:rPr>
        <w:t>October 2026</w:t>
      </w:r>
      <w:r w:rsidRPr="00B32195">
        <w:t xml:space="preserve">. </w:t>
      </w:r>
    </w:p>
    <w:p w14:paraId="78DA1ED0" w14:textId="5CACD082" w:rsidR="00190A37" w:rsidRPr="00B32195" w:rsidRDefault="00190A37" w:rsidP="00190A37">
      <w:pPr>
        <w:numPr>
          <w:ilvl w:val="0"/>
          <w:numId w:val="7"/>
        </w:numPr>
      </w:pPr>
      <w:r w:rsidRPr="00B32195">
        <w:t xml:space="preserve">Plan development: </w:t>
      </w:r>
      <w:r w:rsidRPr="00B32195">
        <w:rPr>
          <w:b/>
          <w:bCs/>
        </w:rPr>
        <w:t>December 2026 to February 2027</w:t>
      </w:r>
      <w:r w:rsidRPr="00B32195">
        <w:t xml:space="preserve">. </w:t>
      </w:r>
    </w:p>
    <w:p w14:paraId="62DD0EC4" w14:textId="6CC7EB5B" w:rsidR="00190A37" w:rsidRPr="00B32195" w:rsidRDefault="00190A37" w:rsidP="00190A37">
      <w:pPr>
        <w:numPr>
          <w:ilvl w:val="0"/>
          <w:numId w:val="7"/>
        </w:numPr>
      </w:pPr>
      <w:r w:rsidRPr="00B32195">
        <w:t xml:space="preserve">Submission of the Pride in Place Plan: </w:t>
      </w:r>
      <w:r w:rsidRPr="00B32195">
        <w:rPr>
          <w:b/>
          <w:bCs/>
        </w:rPr>
        <w:t>26 February 2027</w:t>
      </w:r>
      <w:r w:rsidRPr="00B32195">
        <w:t xml:space="preserve">. </w:t>
      </w:r>
    </w:p>
    <w:p w14:paraId="4270A5A8" w14:textId="39B60736" w:rsidR="00190A37" w:rsidRDefault="00190A37" w:rsidP="00190A37">
      <w:pPr>
        <w:rPr>
          <w:i/>
          <w:iCs/>
        </w:rPr>
      </w:pPr>
      <w:r>
        <w:rPr>
          <w:i/>
          <w:iCs/>
        </w:rPr>
        <w:t xml:space="preserve">NB: Following a discussion by the Board, it was agreed to extend the survey beyond the 18 September 2026. </w:t>
      </w:r>
    </w:p>
    <w:p w14:paraId="798526F3" w14:textId="1CC1190C" w:rsidR="00190A37" w:rsidRDefault="00190A37" w:rsidP="00190A37">
      <w:pPr>
        <w:rPr>
          <w:b/>
          <w:bCs/>
          <w:u w:val="single"/>
        </w:rPr>
      </w:pPr>
      <w:r>
        <w:rPr>
          <w:b/>
          <w:bCs/>
          <w:u w:val="single"/>
        </w:rPr>
        <w:t>Slide 10 – Employment, Skills and Opportunity</w:t>
      </w:r>
    </w:p>
    <w:p w14:paraId="26FDC91D" w14:textId="59DD19F1" w:rsidR="00190A37" w:rsidRDefault="00190A37" w:rsidP="00190A37">
      <w:r w:rsidRPr="00B32195">
        <w:lastRenderedPageBreak/>
        <w:t xml:space="preserve">The government data on this and the following two slides relates to the original, smaller </w:t>
      </w:r>
      <w:r w:rsidRPr="00190A37">
        <w:t xml:space="preserve">Hucknall Westville area rather than the wider Pride in Place boundary. In Westville, 22.8% of residents received Universal Credit, compared with 17.8% in Ashfield and 15.4% across England. The proportion of residents with no formal qualifications was 23.7%, compared with 18.1% nationally. Only 38.8% held Level 3 or higher qualifications, compared with 50.8% across England. These figures indicate local challenges relating to employment, skills and educational attainment, although they cover only part of the wider programme area. </w:t>
      </w:r>
    </w:p>
    <w:p w14:paraId="20BCFE1E" w14:textId="57DFF7BF" w:rsidR="00190A37" w:rsidRDefault="00190A37" w:rsidP="00190A37">
      <w:pPr>
        <w:rPr>
          <w:b/>
          <w:bCs/>
          <w:u w:val="single"/>
        </w:rPr>
      </w:pPr>
      <w:r>
        <w:rPr>
          <w:b/>
          <w:bCs/>
          <w:u w:val="single"/>
        </w:rPr>
        <w:t>Slide 11 – Health and Wellbeing</w:t>
      </w:r>
    </w:p>
    <w:p w14:paraId="34ECF559" w14:textId="2D163B06" w:rsidR="00190A37" w:rsidRDefault="00190A37" w:rsidP="00190A37">
      <w:r w:rsidRPr="00B32195">
        <w:t>In Westville</w:t>
      </w:r>
      <w:r w:rsidRPr="00190A37">
        <w:t xml:space="preserve">, 77.7% of residents described their health as good or very good, compared with 82.2% across England. The proportion recorded as long-term sick or disabled was 6.7%, compared with 5.7% in Ashfield and 4.1% nationally. Working-age residents aged 25 to 64 formed the largest population group at 52.8%. Children aged 0 to 15 accounted for 20.8%, residents aged 65 or over for 16.3%, and young adults aged 16 to 24 for 10%. </w:t>
      </w:r>
      <w:r w:rsidRPr="00B32195">
        <w:t xml:space="preserve">The evidence suggests that long-term health conditions may affect local wellbeing and people’s ability to participate in employment. </w:t>
      </w:r>
    </w:p>
    <w:p w14:paraId="3D9CE8A7" w14:textId="1C126366" w:rsidR="00190A37" w:rsidRDefault="00190A37" w:rsidP="00190A37">
      <w:pPr>
        <w:rPr>
          <w:b/>
          <w:bCs/>
          <w:u w:val="single"/>
        </w:rPr>
      </w:pPr>
      <w:r>
        <w:rPr>
          <w:b/>
          <w:bCs/>
          <w:u w:val="single"/>
        </w:rPr>
        <w:t>Slide 12 – Community Safety and Social Trust</w:t>
      </w:r>
    </w:p>
    <w:p w14:paraId="3A37BD1A" w14:textId="04AF8D32" w:rsidR="00190A37" w:rsidRPr="00190A37" w:rsidRDefault="00190A37" w:rsidP="00190A37">
      <w:r w:rsidRPr="00B32195">
        <w:t xml:space="preserve">Westville recorded higher figures than England for violence and sexual offences, shoplifting, possession of weapons, and criminal damage and arson. </w:t>
      </w:r>
      <w:r w:rsidRPr="00190A37">
        <w:t xml:space="preserve">The difference was especially noticeable for violence and sexual offences, at 38.7 in Westville compared with 35.8 in England, and possession of weapons, at 2.1 compared with 1.0. </w:t>
      </w:r>
    </w:p>
    <w:p w14:paraId="4B8E8D4B" w14:textId="711318E9" w:rsidR="00190A37" w:rsidRDefault="00190A37" w:rsidP="00190A37">
      <w:r w:rsidRPr="00190A37">
        <w:t xml:space="preserve">A social-trust indicator was −19.9% for Hucknall, compared with −11.2% for Ashfield and −3.1% for England. </w:t>
      </w:r>
      <w:r w:rsidRPr="00B32195">
        <w:t xml:space="preserve">The social-trust figure was a modelled estimate rather than the result of a direct survey of Hucknall residents. It should therefore be considered alongside residents’ experiences, stakeholder feedback and local engagement findings. </w:t>
      </w:r>
    </w:p>
    <w:p w14:paraId="1A0984D0" w14:textId="3DA9A508" w:rsidR="00190A37" w:rsidRDefault="00190A37" w:rsidP="00190A37">
      <w:pPr>
        <w:rPr>
          <w:b/>
          <w:bCs/>
          <w:u w:val="single"/>
        </w:rPr>
      </w:pPr>
      <w:r>
        <w:rPr>
          <w:b/>
          <w:bCs/>
          <w:u w:val="single"/>
        </w:rPr>
        <w:t>Slide 13 – Wider Boundary Evidence</w:t>
      </w:r>
    </w:p>
    <w:p w14:paraId="3B0637A8" w14:textId="17A35C28" w:rsidR="00190A37" w:rsidRDefault="00190A37" w:rsidP="00190A37">
      <w:r w:rsidRPr="00190A37">
        <w:t xml:space="preserve">Ward-level information provides a broader picture of Hucknall Central and Hucknall South. Hucknall Central had a population of 7,651, while Hucknall South had 8,167 residents. Universal Credit claimant levels were 28.7% in Central and 22.8% in South, compared with 22.5% across Ashfield. Private renting was more common in Central, at 23.7%, while council housing was more common in South, at 15.4%. In April 2026, Central recorded 92 crime incidents, compared with 65 in South. Violence was a major category in both </w:t>
      </w:r>
      <w:proofErr w:type="spellStart"/>
      <w:proofErr w:type="gramStart"/>
      <w:r w:rsidRPr="00190A37">
        <w:t>wards.</w:t>
      </w:r>
      <w:r w:rsidRPr="00B32195">
        <w:t>The</w:t>
      </w:r>
      <w:proofErr w:type="spellEnd"/>
      <w:proofErr w:type="gramEnd"/>
      <w:r w:rsidRPr="00B32195">
        <w:t xml:space="preserve"> ward profiles demonstrate that different parts of Hucknall experience different pressures and may require different responses. </w:t>
      </w:r>
    </w:p>
    <w:p w14:paraId="1C421D22" w14:textId="6B29051A" w:rsidR="00190A37" w:rsidRDefault="00190A37" w:rsidP="00190A37">
      <w:pPr>
        <w:rPr>
          <w:b/>
          <w:bCs/>
          <w:u w:val="single"/>
        </w:rPr>
      </w:pPr>
      <w:r>
        <w:rPr>
          <w:b/>
          <w:bCs/>
          <w:u w:val="single"/>
        </w:rPr>
        <w:t>Slide 14 – Initial Community Survey Findings</w:t>
      </w:r>
    </w:p>
    <w:p w14:paraId="79CD4269" w14:textId="7F8E3D95" w:rsidR="00190A37" w:rsidRDefault="00190A37" w:rsidP="00190A37">
      <w:r w:rsidRPr="00B32195">
        <w:t xml:space="preserve">The survey had </w:t>
      </w:r>
      <w:r w:rsidRPr="00190A37">
        <w:t>received 126 responses by 27 August 2026 from residents, businesses, community organisations, volunteers, education providers and people working in Hucknall.</w:t>
      </w:r>
      <w:r w:rsidRPr="00B32195">
        <w:t xml:space="preserve"> Overall</w:t>
      </w:r>
      <w:r w:rsidRPr="00190A37">
        <w:t xml:space="preserve">, 63% of respondents reported feeling proud of Hucknall or having a sense of belonging. However, 18% felt neutral or indifferent and 13% did not feel proud of Hucknall. A total of 68% participated locally, had a reliable community network or described themselves as actively involved. </w:t>
      </w:r>
      <w:r w:rsidRPr="00B32195">
        <w:t xml:space="preserve">Conversely, </w:t>
      </w:r>
      <w:r w:rsidRPr="00190A37">
        <w:t xml:space="preserve">17% knew people locally but rarely participated, while 9% felt completely isolated or disconnected. </w:t>
      </w:r>
    </w:p>
    <w:p w14:paraId="7009F2C3" w14:textId="3E21B5DB" w:rsidR="00190A37" w:rsidRDefault="00190A37" w:rsidP="00190A37">
      <w:pPr>
        <w:rPr>
          <w:b/>
          <w:bCs/>
          <w:u w:val="single"/>
        </w:rPr>
      </w:pPr>
      <w:r>
        <w:rPr>
          <w:b/>
          <w:bCs/>
          <w:u w:val="single"/>
        </w:rPr>
        <w:t>Slide 15 – What People Value about Hucknall</w:t>
      </w:r>
    </w:p>
    <w:p w14:paraId="5B7D2276" w14:textId="46AF66FA" w:rsidR="00190A37" w:rsidRDefault="00190A37" w:rsidP="00190A37">
      <w:r w:rsidRPr="00190A37">
        <w:lastRenderedPageBreak/>
        <w:t xml:space="preserve">The most valued aspect of Hucknall was family connections, selected by 54% of respondents. This was followed by parks and green spaces at 52%, a sense of community at 48%, the town centre at 29% and the leisure centre at 22%. </w:t>
      </w:r>
      <w:r w:rsidRPr="00B32195">
        <w:t xml:space="preserve">Other positive themes included public transport and motorway connections, local sports, community events, volunteering, heritage and strong family roots. The findings indicate that residents particularly value Hucknall’s relationships, community spirit, green spaces, identity and accessibility. </w:t>
      </w:r>
    </w:p>
    <w:p w14:paraId="00E7ECB8" w14:textId="1A959AB4" w:rsidR="00190A37" w:rsidRDefault="00190A37" w:rsidP="00190A37">
      <w:pPr>
        <w:rPr>
          <w:b/>
          <w:bCs/>
          <w:u w:val="single"/>
        </w:rPr>
      </w:pPr>
      <w:r>
        <w:rPr>
          <w:b/>
          <w:bCs/>
          <w:u w:val="single"/>
        </w:rPr>
        <w:t>Slide 16 – Emerging Community Themes</w:t>
      </w:r>
    </w:p>
    <w:p w14:paraId="0B03A6EF" w14:textId="77777777" w:rsidR="00190A37" w:rsidRPr="00B32195" w:rsidRDefault="00190A37" w:rsidP="00190A37">
      <w:r w:rsidRPr="00B32195">
        <w:t>Five broad themes were emerging from the survey:</w:t>
      </w:r>
    </w:p>
    <w:p w14:paraId="2627E855" w14:textId="6691672F" w:rsidR="00190A37" w:rsidRPr="00B32195" w:rsidRDefault="00190A37" w:rsidP="00190A37">
      <w:pPr>
        <w:numPr>
          <w:ilvl w:val="0"/>
          <w:numId w:val="8"/>
        </w:numPr>
      </w:pPr>
      <w:r w:rsidRPr="00B32195">
        <w:rPr>
          <w:b/>
          <w:bCs/>
        </w:rPr>
        <w:t>Young people, sport and recreation:</w:t>
      </w:r>
      <w:r w:rsidRPr="00B32195">
        <w:t xml:space="preserve"> More activities, improved sports facilities and safe social spaces for children and young people. </w:t>
      </w:r>
    </w:p>
    <w:p w14:paraId="6408BF9F" w14:textId="6C160355" w:rsidR="00190A37" w:rsidRPr="00B32195" w:rsidRDefault="00190A37" w:rsidP="00190A37">
      <w:pPr>
        <w:numPr>
          <w:ilvl w:val="0"/>
          <w:numId w:val="8"/>
        </w:numPr>
      </w:pPr>
      <w:r w:rsidRPr="00B32195">
        <w:rPr>
          <w:b/>
          <w:bCs/>
        </w:rPr>
        <w:t>Parks and green spaces:</w:t>
      </w:r>
      <w:r w:rsidRPr="00B32195">
        <w:t xml:space="preserve"> </w:t>
      </w:r>
      <w:proofErr w:type="gramStart"/>
      <w:r w:rsidRPr="00B32195">
        <w:t>Better</w:t>
      </w:r>
      <w:proofErr w:type="gramEnd"/>
      <w:r w:rsidRPr="00B32195">
        <w:t xml:space="preserve"> play areas, maintenance, cleanliness, seating and community use of outdoor spaces. </w:t>
      </w:r>
    </w:p>
    <w:p w14:paraId="3EAC2030" w14:textId="1C67C473" w:rsidR="00190A37" w:rsidRPr="00B32195" w:rsidRDefault="00190A37" w:rsidP="00190A37">
      <w:pPr>
        <w:numPr>
          <w:ilvl w:val="0"/>
          <w:numId w:val="8"/>
        </w:numPr>
      </w:pPr>
      <w:r w:rsidRPr="00B32195">
        <w:rPr>
          <w:b/>
          <w:bCs/>
        </w:rPr>
        <w:t>Town-centre renewal:</w:t>
      </w:r>
      <w:r w:rsidRPr="00B32195">
        <w:t xml:space="preserve"> Improved shopfronts, fewer vacant premises, more independent businesses, better markets and cleaner streets. </w:t>
      </w:r>
    </w:p>
    <w:p w14:paraId="6C5B9AB7" w14:textId="0DF04B85" w:rsidR="00190A37" w:rsidRPr="00B32195" w:rsidRDefault="00190A37" w:rsidP="00190A37">
      <w:pPr>
        <w:numPr>
          <w:ilvl w:val="0"/>
          <w:numId w:val="8"/>
        </w:numPr>
      </w:pPr>
      <w:r w:rsidRPr="00B32195">
        <w:rPr>
          <w:b/>
          <w:bCs/>
        </w:rPr>
        <w:t>Safer communities:</w:t>
      </w:r>
      <w:r w:rsidRPr="00B32195">
        <w:t xml:space="preserve"> Action relating to antisocial behaviour, illegal bikes and e-scooters, drugs, graffiti, litter and safety in public spaces. </w:t>
      </w:r>
    </w:p>
    <w:p w14:paraId="114B510D" w14:textId="1A888DD8" w:rsidR="00190A37" w:rsidRPr="00B32195" w:rsidRDefault="00190A37" w:rsidP="00190A37">
      <w:pPr>
        <w:numPr>
          <w:ilvl w:val="0"/>
          <w:numId w:val="8"/>
        </w:numPr>
      </w:pPr>
      <w:r w:rsidRPr="00B32195">
        <w:rPr>
          <w:b/>
          <w:bCs/>
        </w:rPr>
        <w:t>Facilities and social connection:</w:t>
      </w:r>
      <w:r w:rsidRPr="00B32195">
        <w:t xml:space="preserve"> More youth clubs, community hubs, activities for older residents, volunteering opportunities and support for isolated people. </w:t>
      </w:r>
    </w:p>
    <w:p w14:paraId="117108DD" w14:textId="07066DD1" w:rsidR="00190A37" w:rsidRDefault="00190A37" w:rsidP="00190A37">
      <w:r w:rsidRPr="00B32195">
        <w:t xml:space="preserve">These themes were early indications from engagement and had not yet been adopted as final programme priorities. </w:t>
      </w:r>
    </w:p>
    <w:p w14:paraId="1A08F3D3" w14:textId="443D2195" w:rsidR="00190A37" w:rsidRDefault="00190A37" w:rsidP="00190A37">
      <w:pPr>
        <w:rPr>
          <w:b/>
          <w:bCs/>
          <w:u w:val="single"/>
        </w:rPr>
      </w:pPr>
      <w:r>
        <w:rPr>
          <w:b/>
          <w:bCs/>
          <w:u w:val="single"/>
        </w:rPr>
        <w:t>Slide 17 – Engagement Programme</w:t>
      </w:r>
    </w:p>
    <w:p w14:paraId="24E370DF" w14:textId="5A368AB6" w:rsidR="00190A37" w:rsidRDefault="00190A37" w:rsidP="00190A37">
      <w:r w:rsidRPr="00B32195">
        <w:t xml:space="preserve">Engagement completed during 2026 included listening groups in Butler’s Hill and Broomhill, MP engagement events, Hucknall Fest, the Hucknall Heritage Network and the Ashfield Food and Drink Festival. The Phase 1 community survey ran during August and September 2026, alongside continuing stakeholder discussions. Proposed future activity included a wellbeing roadshow, a Meet the Board event, Phase 2 consultation and project prioritisation. The engagement approach uses online and paper questionnaires, community events, workshops, stakeholder discussions and targeted work with groups that might otherwise be under-represented. The intention is for local people to influence the programme’s priorities, proposed projects and investment decisions. </w:t>
      </w:r>
    </w:p>
    <w:p w14:paraId="7FD45D94" w14:textId="3F88C023" w:rsidR="00190A37" w:rsidRDefault="00190A37" w:rsidP="00190A37">
      <w:pPr>
        <w:rPr>
          <w:b/>
          <w:bCs/>
          <w:u w:val="single"/>
        </w:rPr>
      </w:pPr>
      <w:r>
        <w:rPr>
          <w:b/>
          <w:bCs/>
          <w:u w:val="single"/>
        </w:rPr>
        <w:t xml:space="preserve">Slide 18 – Questions for Discussion </w:t>
      </w:r>
    </w:p>
    <w:p w14:paraId="659C3166" w14:textId="2CCE2492" w:rsidR="00190A37" w:rsidRDefault="00190A37" w:rsidP="00190A37">
      <w:r w:rsidRPr="00B32195">
        <w:t xml:space="preserve">Board members were asked to identify local groups, organisations and networks that could participate in the consultation. They were also invited to consider whether grants or community-led projects could help organisations involve a wider range of residents. The Board was asked to discuss the purpose and format of a future Meet the Board event. </w:t>
      </w:r>
    </w:p>
    <w:p w14:paraId="68311E72" w14:textId="617CDC1F" w:rsidR="00190A37" w:rsidRPr="00190A37" w:rsidRDefault="00190A37" w:rsidP="00190A37">
      <w:pPr>
        <w:rPr>
          <w:b/>
          <w:bCs/>
          <w:u w:val="single"/>
        </w:rPr>
      </w:pPr>
      <w:r w:rsidRPr="00190A37">
        <w:rPr>
          <w:b/>
          <w:bCs/>
          <w:u w:val="single"/>
        </w:rPr>
        <w:t xml:space="preserve">Slide 19 – Future Board </w:t>
      </w:r>
      <w:r>
        <w:rPr>
          <w:b/>
          <w:bCs/>
          <w:u w:val="single"/>
        </w:rPr>
        <w:t>Meetings</w:t>
      </w:r>
    </w:p>
    <w:p w14:paraId="531C567C" w14:textId="0A33E2A8" w:rsidR="00190A37" w:rsidRPr="00190A37" w:rsidRDefault="00190A37" w:rsidP="00190A37">
      <w:pPr>
        <w:rPr>
          <w:b/>
          <w:bCs/>
          <w:u w:val="single"/>
        </w:rPr>
      </w:pPr>
      <w:r w:rsidRPr="00B32195">
        <w:t>The final discussion concerned how the Board should operate in future. Members were asked to agree their preferred meeting frequency, suitable days and times, and whether meetings should take place in person, online or through a hybrid arrangement. They were also invited to suggest additional subjects for future meeting agendas.</w:t>
      </w:r>
    </w:p>
    <w:p w14:paraId="0F0794BF" w14:textId="77777777" w:rsidR="00190A37" w:rsidRPr="00190A37" w:rsidRDefault="00190A37" w:rsidP="00190A37"/>
    <w:p w14:paraId="57A7D431" w14:textId="77777777" w:rsidR="00190A37" w:rsidRPr="00190A37" w:rsidRDefault="00190A37" w:rsidP="00190A37"/>
    <w:p w14:paraId="31A5D8C4" w14:textId="77777777" w:rsidR="00190A37" w:rsidRPr="00190A37" w:rsidRDefault="00190A37" w:rsidP="00190A37">
      <w:pPr>
        <w:rPr>
          <w:b/>
          <w:bCs/>
          <w:u w:val="single"/>
        </w:rPr>
      </w:pPr>
    </w:p>
    <w:p w14:paraId="03024FD9" w14:textId="77777777" w:rsidR="00190A37" w:rsidRPr="00190A37" w:rsidRDefault="00190A37" w:rsidP="00190A37">
      <w:pPr>
        <w:rPr>
          <w:u w:val="single"/>
        </w:rPr>
      </w:pPr>
    </w:p>
    <w:p w14:paraId="15CC840B" w14:textId="1A174873" w:rsidR="00190A37" w:rsidRPr="00190A37" w:rsidRDefault="00190A37"/>
    <w:sectPr w:rsidR="00190A37" w:rsidRPr="00190A37" w:rsidSect="00BD4241">
      <w:pgSz w:w="11906" w:h="16838"/>
      <w:pgMar w:top="1440"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396B"/>
    <w:multiLevelType w:val="multilevel"/>
    <w:tmpl w:val="140C5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E855F0"/>
    <w:multiLevelType w:val="multilevel"/>
    <w:tmpl w:val="4D2A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8848E2"/>
    <w:multiLevelType w:val="multilevel"/>
    <w:tmpl w:val="9BC43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3C0939"/>
    <w:multiLevelType w:val="hybridMultilevel"/>
    <w:tmpl w:val="B3D0CA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8C6FCB"/>
    <w:multiLevelType w:val="multilevel"/>
    <w:tmpl w:val="036C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88C0832"/>
    <w:multiLevelType w:val="multilevel"/>
    <w:tmpl w:val="458C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EB27223"/>
    <w:multiLevelType w:val="multilevel"/>
    <w:tmpl w:val="FD38E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0104EA"/>
    <w:multiLevelType w:val="multilevel"/>
    <w:tmpl w:val="7BDA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3198436">
    <w:abstractNumId w:val="3"/>
  </w:num>
  <w:num w:numId="2" w16cid:durableId="507331537">
    <w:abstractNumId w:val="6"/>
  </w:num>
  <w:num w:numId="3" w16cid:durableId="891385731">
    <w:abstractNumId w:val="7"/>
  </w:num>
  <w:num w:numId="4" w16cid:durableId="44761303">
    <w:abstractNumId w:val="1"/>
  </w:num>
  <w:num w:numId="5" w16cid:durableId="422530595">
    <w:abstractNumId w:val="5"/>
  </w:num>
  <w:num w:numId="6" w16cid:durableId="1256743318">
    <w:abstractNumId w:val="4"/>
  </w:num>
  <w:num w:numId="7" w16cid:durableId="1680699046">
    <w:abstractNumId w:val="0"/>
  </w:num>
  <w:num w:numId="8" w16cid:durableId="999576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A37"/>
    <w:rsid w:val="00067B49"/>
    <w:rsid w:val="00071576"/>
    <w:rsid w:val="00190A37"/>
    <w:rsid w:val="00284F41"/>
    <w:rsid w:val="00733ABD"/>
    <w:rsid w:val="00B14F16"/>
    <w:rsid w:val="00BD4241"/>
    <w:rsid w:val="39DA2C60"/>
    <w:rsid w:val="59F67F51"/>
    <w:rsid w:val="5BAC5858"/>
    <w:rsid w:val="6947C5F9"/>
    <w:rsid w:val="7A43E1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62858"/>
  <w15:chartTrackingRefBased/>
  <w15:docId w15:val="{4FD97FDF-E620-4328-8CA1-FE00DC75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41"/>
    <w:rPr>
      <w:rFonts w:ascii="Arial" w:hAnsi="Arial"/>
      <w:sz w:val="24"/>
    </w:rPr>
  </w:style>
  <w:style w:type="paragraph" w:styleId="Heading1">
    <w:name w:val="heading 1"/>
    <w:basedOn w:val="Normal"/>
    <w:next w:val="Normal"/>
    <w:link w:val="Heading1Char"/>
    <w:uiPriority w:val="9"/>
    <w:qFormat/>
    <w:rsid w:val="00BD4241"/>
    <w:pPr>
      <w:keepNext/>
      <w:keepLines/>
      <w:spacing w:before="320" w:after="40"/>
      <w:outlineLvl w:val="0"/>
    </w:pPr>
    <w:rPr>
      <w:rFonts w:eastAsiaTheme="majorEastAsia" w:cstheme="majorBidi"/>
      <w:b/>
      <w:bCs/>
      <w:caps/>
      <w:spacing w:val="4"/>
      <w:sz w:val="28"/>
      <w:szCs w:val="28"/>
    </w:rPr>
  </w:style>
  <w:style w:type="paragraph" w:styleId="Heading2">
    <w:name w:val="heading 2"/>
    <w:basedOn w:val="Normal"/>
    <w:next w:val="Normal"/>
    <w:link w:val="Heading2Char"/>
    <w:uiPriority w:val="9"/>
    <w:unhideWhenUsed/>
    <w:qFormat/>
    <w:rsid w:val="00BD4241"/>
    <w:pPr>
      <w:keepNext/>
      <w:keepLines/>
      <w:spacing w:before="120" w:after="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BD4241"/>
    <w:pPr>
      <w:keepNext/>
      <w:keepLines/>
      <w:spacing w:before="120" w:after="0"/>
      <w:outlineLvl w:val="2"/>
    </w:pPr>
    <w:rPr>
      <w:rFonts w:eastAsiaTheme="majorEastAsia" w:cstheme="majorBidi"/>
      <w:spacing w:val="4"/>
      <w:szCs w:val="24"/>
    </w:rPr>
  </w:style>
  <w:style w:type="paragraph" w:styleId="Heading4">
    <w:name w:val="heading 4"/>
    <w:basedOn w:val="Normal"/>
    <w:next w:val="Normal"/>
    <w:link w:val="Heading4Char"/>
    <w:uiPriority w:val="9"/>
    <w:unhideWhenUsed/>
    <w:rsid w:val="00BD4241"/>
    <w:pPr>
      <w:keepNext/>
      <w:keepLines/>
      <w:spacing w:before="120" w:after="0"/>
      <w:outlineLvl w:val="3"/>
    </w:pPr>
    <w:rPr>
      <w:rFonts w:eastAsiaTheme="majorEastAsia" w:cstheme="majorBidi"/>
      <w:i/>
      <w:iCs/>
      <w:szCs w:val="24"/>
    </w:rPr>
  </w:style>
  <w:style w:type="paragraph" w:styleId="Heading5">
    <w:name w:val="heading 5"/>
    <w:basedOn w:val="Normal"/>
    <w:next w:val="Normal"/>
    <w:link w:val="Heading5Char"/>
    <w:uiPriority w:val="9"/>
    <w:unhideWhenUsed/>
    <w:rsid w:val="00BD4241"/>
    <w:pPr>
      <w:keepNext/>
      <w:keepLines/>
      <w:spacing w:before="120" w:after="0"/>
      <w:outlineLvl w:val="4"/>
    </w:pPr>
    <w:rPr>
      <w:rFonts w:eastAsiaTheme="majorEastAsia" w:cstheme="majorBidi"/>
      <w:b/>
      <w:bCs/>
    </w:rPr>
  </w:style>
  <w:style w:type="paragraph" w:styleId="Heading6">
    <w:name w:val="heading 6"/>
    <w:basedOn w:val="Normal"/>
    <w:next w:val="Normal"/>
    <w:link w:val="Heading6Char"/>
    <w:uiPriority w:val="9"/>
    <w:semiHidden/>
    <w:unhideWhenUsed/>
    <w:rsid w:val="00BD4241"/>
    <w:pPr>
      <w:keepNext/>
      <w:keepLines/>
      <w:spacing w:before="120" w:after="0"/>
      <w:outlineLvl w:val="5"/>
    </w:pPr>
    <w:rPr>
      <w:rFonts w:eastAsiaTheme="majorEastAsia" w:cstheme="majorBidi"/>
      <w:b/>
      <w:bCs/>
      <w:i/>
      <w:iCs/>
    </w:rPr>
  </w:style>
  <w:style w:type="paragraph" w:styleId="Heading7">
    <w:name w:val="heading 7"/>
    <w:basedOn w:val="Normal"/>
    <w:next w:val="Normal"/>
    <w:link w:val="Heading7Char"/>
    <w:uiPriority w:val="9"/>
    <w:semiHidden/>
    <w:unhideWhenUsed/>
    <w:rsid w:val="00190A3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rsid w:val="00190A3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rsid w:val="00190A3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241"/>
    <w:rPr>
      <w:rFonts w:ascii="Arial" w:eastAsiaTheme="majorEastAsia" w:hAnsi="Arial" w:cstheme="majorBidi"/>
      <w:b/>
      <w:bCs/>
      <w:caps/>
      <w:spacing w:val="4"/>
      <w:sz w:val="28"/>
      <w:szCs w:val="28"/>
    </w:rPr>
  </w:style>
  <w:style w:type="paragraph" w:styleId="NoSpacing">
    <w:name w:val="No Spacing"/>
    <w:uiPriority w:val="1"/>
    <w:qFormat/>
    <w:rsid w:val="00BD4241"/>
    <w:pPr>
      <w:spacing w:after="0" w:line="240" w:lineRule="auto"/>
    </w:pPr>
    <w:rPr>
      <w:rFonts w:ascii="Arial" w:hAnsi="Arial"/>
      <w:sz w:val="24"/>
    </w:rPr>
  </w:style>
  <w:style w:type="character" w:customStyle="1" w:styleId="Heading2Char">
    <w:name w:val="Heading 2 Char"/>
    <w:basedOn w:val="DefaultParagraphFont"/>
    <w:link w:val="Heading2"/>
    <w:uiPriority w:val="9"/>
    <w:rsid w:val="00BD4241"/>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
    <w:rsid w:val="00BD4241"/>
    <w:rPr>
      <w:rFonts w:ascii="Arial" w:eastAsiaTheme="majorEastAsia" w:hAnsi="Arial" w:cstheme="majorBidi"/>
      <w:spacing w:val="4"/>
      <w:sz w:val="24"/>
      <w:szCs w:val="24"/>
    </w:rPr>
  </w:style>
  <w:style w:type="character" w:customStyle="1" w:styleId="Heading4Char">
    <w:name w:val="Heading 4 Char"/>
    <w:basedOn w:val="DefaultParagraphFont"/>
    <w:link w:val="Heading4"/>
    <w:uiPriority w:val="9"/>
    <w:rsid w:val="00BD4241"/>
    <w:rPr>
      <w:rFonts w:ascii="Arial" w:eastAsiaTheme="majorEastAsia" w:hAnsi="Arial" w:cstheme="majorBidi"/>
      <w:i/>
      <w:iCs/>
      <w:sz w:val="24"/>
      <w:szCs w:val="24"/>
    </w:rPr>
  </w:style>
  <w:style w:type="character" w:customStyle="1" w:styleId="Heading5Char">
    <w:name w:val="Heading 5 Char"/>
    <w:basedOn w:val="DefaultParagraphFont"/>
    <w:link w:val="Heading5"/>
    <w:uiPriority w:val="9"/>
    <w:rsid w:val="00BD4241"/>
    <w:rPr>
      <w:rFonts w:ascii="Arial" w:eastAsiaTheme="majorEastAsia" w:hAnsi="Arial" w:cstheme="majorBidi"/>
      <w:b/>
      <w:bCs/>
      <w:sz w:val="24"/>
    </w:rPr>
  </w:style>
  <w:style w:type="character" w:customStyle="1" w:styleId="Heading6Char">
    <w:name w:val="Heading 6 Char"/>
    <w:basedOn w:val="DefaultParagraphFont"/>
    <w:link w:val="Heading6"/>
    <w:uiPriority w:val="9"/>
    <w:semiHidden/>
    <w:rsid w:val="00BD4241"/>
    <w:rPr>
      <w:rFonts w:ascii="Arial" w:eastAsiaTheme="majorEastAsia" w:hAnsi="Arial" w:cstheme="majorBidi"/>
      <w:b/>
      <w:bCs/>
      <w:i/>
      <w:iCs/>
      <w:sz w:val="24"/>
    </w:rPr>
  </w:style>
  <w:style w:type="paragraph" w:styleId="Title">
    <w:name w:val="Title"/>
    <w:basedOn w:val="Normal"/>
    <w:next w:val="Normal"/>
    <w:link w:val="TitleChar"/>
    <w:uiPriority w:val="10"/>
    <w:qFormat/>
    <w:rsid w:val="00BD4241"/>
    <w:pPr>
      <w:spacing w:after="0" w:line="240" w:lineRule="auto"/>
      <w:contextualSpacing/>
      <w:jc w:val="center"/>
    </w:pPr>
    <w:rPr>
      <w:rFonts w:eastAsiaTheme="majorEastAsia" w:cstheme="majorBidi"/>
      <w:b/>
      <w:bCs/>
      <w:spacing w:val="-7"/>
      <w:sz w:val="48"/>
      <w:szCs w:val="48"/>
    </w:rPr>
  </w:style>
  <w:style w:type="character" w:customStyle="1" w:styleId="TitleChar">
    <w:name w:val="Title Char"/>
    <w:basedOn w:val="DefaultParagraphFont"/>
    <w:link w:val="Title"/>
    <w:uiPriority w:val="10"/>
    <w:rsid w:val="00BD4241"/>
    <w:rPr>
      <w:rFonts w:ascii="Arial" w:eastAsiaTheme="majorEastAsia" w:hAnsi="Arial" w:cstheme="majorBidi"/>
      <w:b/>
      <w:bCs/>
      <w:spacing w:val="-7"/>
      <w:sz w:val="48"/>
      <w:szCs w:val="48"/>
    </w:rPr>
  </w:style>
  <w:style w:type="paragraph" w:styleId="Caption">
    <w:name w:val="caption"/>
    <w:basedOn w:val="Normal"/>
    <w:next w:val="Normal"/>
    <w:uiPriority w:val="35"/>
    <w:semiHidden/>
    <w:unhideWhenUsed/>
    <w:qFormat/>
    <w:rsid w:val="00BD4241"/>
    <w:rPr>
      <w:b/>
      <w:bCs/>
      <w:sz w:val="18"/>
      <w:szCs w:val="18"/>
    </w:rPr>
  </w:style>
  <w:style w:type="paragraph" w:styleId="Subtitle">
    <w:name w:val="Subtitle"/>
    <w:basedOn w:val="Normal"/>
    <w:next w:val="Normal"/>
    <w:link w:val="SubtitleChar"/>
    <w:uiPriority w:val="11"/>
    <w:qFormat/>
    <w:rsid w:val="00BD4241"/>
    <w:pPr>
      <w:numPr>
        <w:ilvl w:val="1"/>
      </w:numPr>
      <w:spacing w:after="240"/>
      <w:jc w:val="center"/>
    </w:pPr>
    <w:rPr>
      <w:rFonts w:eastAsiaTheme="majorEastAsia" w:cstheme="majorBidi"/>
      <w:szCs w:val="24"/>
    </w:rPr>
  </w:style>
  <w:style w:type="character" w:customStyle="1" w:styleId="SubtitleChar">
    <w:name w:val="Subtitle Char"/>
    <w:basedOn w:val="DefaultParagraphFont"/>
    <w:link w:val="Subtitle"/>
    <w:uiPriority w:val="11"/>
    <w:rsid w:val="00BD4241"/>
    <w:rPr>
      <w:rFonts w:ascii="Arial" w:eastAsiaTheme="majorEastAsia" w:hAnsi="Arial" w:cstheme="majorBidi"/>
      <w:sz w:val="24"/>
      <w:szCs w:val="24"/>
    </w:rPr>
  </w:style>
  <w:style w:type="character" w:styleId="Strong">
    <w:name w:val="Strong"/>
    <w:basedOn w:val="DefaultParagraphFont"/>
    <w:uiPriority w:val="22"/>
    <w:qFormat/>
    <w:rsid w:val="00BD4241"/>
    <w:rPr>
      <w:b/>
      <w:bCs/>
      <w:color w:val="auto"/>
    </w:rPr>
  </w:style>
  <w:style w:type="character" w:styleId="Emphasis">
    <w:name w:val="Emphasis"/>
    <w:basedOn w:val="DefaultParagraphFont"/>
    <w:uiPriority w:val="20"/>
    <w:qFormat/>
    <w:rsid w:val="00BD4241"/>
    <w:rPr>
      <w:i/>
      <w:iCs/>
      <w:color w:val="auto"/>
    </w:rPr>
  </w:style>
  <w:style w:type="paragraph" w:styleId="ListParagraph">
    <w:name w:val="List Paragraph"/>
    <w:basedOn w:val="Normal"/>
    <w:uiPriority w:val="34"/>
    <w:qFormat/>
    <w:rsid w:val="00BD4241"/>
    <w:pPr>
      <w:ind w:left="720"/>
      <w:contextualSpacing/>
    </w:pPr>
  </w:style>
  <w:style w:type="paragraph" w:styleId="Quote">
    <w:name w:val="Quote"/>
    <w:basedOn w:val="Normal"/>
    <w:next w:val="Normal"/>
    <w:link w:val="QuoteChar"/>
    <w:uiPriority w:val="29"/>
    <w:qFormat/>
    <w:rsid w:val="00BD4241"/>
    <w:pPr>
      <w:spacing w:before="200" w:line="264" w:lineRule="auto"/>
      <w:ind w:left="864" w:right="864"/>
      <w:jc w:val="center"/>
    </w:pPr>
    <w:rPr>
      <w:rFonts w:asciiTheme="majorHAnsi" w:eastAsiaTheme="majorEastAsia" w:hAnsiTheme="majorHAnsi" w:cstheme="majorBidi"/>
      <w:i/>
      <w:iCs/>
      <w:szCs w:val="24"/>
    </w:rPr>
  </w:style>
  <w:style w:type="character" w:customStyle="1" w:styleId="QuoteChar">
    <w:name w:val="Quote Char"/>
    <w:basedOn w:val="DefaultParagraphFont"/>
    <w:link w:val="Quote"/>
    <w:uiPriority w:val="29"/>
    <w:rsid w:val="00BD4241"/>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D424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D4241"/>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D4241"/>
    <w:rPr>
      <w:i/>
      <w:iCs/>
      <w:color w:val="auto"/>
    </w:rPr>
  </w:style>
  <w:style w:type="character" w:styleId="IntenseEmphasis">
    <w:name w:val="Intense Emphasis"/>
    <w:basedOn w:val="DefaultParagraphFont"/>
    <w:uiPriority w:val="21"/>
    <w:qFormat/>
    <w:rsid w:val="00BD4241"/>
    <w:rPr>
      <w:b/>
      <w:bCs/>
      <w:i/>
      <w:iCs/>
      <w:color w:val="auto"/>
    </w:rPr>
  </w:style>
  <w:style w:type="character" w:styleId="SubtleReference">
    <w:name w:val="Subtle Reference"/>
    <w:basedOn w:val="DefaultParagraphFont"/>
    <w:uiPriority w:val="31"/>
    <w:qFormat/>
    <w:rsid w:val="00BD4241"/>
    <w:rPr>
      <w:smallCaps/>
      <w:color w:val="auto"/>
      <w:u w:val="single" w:color="7F7F7F" w:themeColor="text1" w:themeTint="80"/>
    </w:rPr>
  </w:style>
  <w:style w:type="character" w:styleId="IntenseReference">
    <w:name w:val="Intense Reference"/>
    <w:basedOn w:val="DefaultParagraphFont"/>
    <w:uiPriority w:val="32"/>
    <w:qFormat/>
    <w:rsid w:val="00BD4241"/>
    <w:rPr>
      <w:b/>
      <w:bCs/>
      <w:smallCaps/>
      <w:color w:val="auto"/>
      <w:u w:val="single"/>
    </w:rPr>
  </w:style>
  <w:style w:type="character" w:styleId="BookTitle">
    <w:name w:val="Book Title"/>
    <w:basedOn w:val="DefaultParagraphFont"/>
    <w:uiPriority w:val="33"/>
    <w:qFormat/>
    <w:rsid w:val="00BD4241"/>
    <w:rPr>
      <w:b/>
      <w:bCs/>
      <w:smallCaps/>
      <w:color w:val="auto"/>
    </w:rPr>
  </w:style>
  <w:style w:type="paragraph" w:styleId="TOCHeading">
    <w:name w:val="TOC Heading"/>
    <w:basedOn w:val="Heading1"/>
    <w:next w:val="Normal"/>
    <w:uiPriority w:val="39"/>
    <w:semiHidden/>
    <w:unhideWhenUsed/>
    <w:qFormat/>
    <w:rsid w:val="00BD4241"/>
    <w:pPr>
      <w:outlineLvl w:val="9"/>
    </w:pPr>
  </w:style>
  <w:style w:type="character" w:customStyle="1" w:styleId="Heading7Char">
    <w:name w:val="Heading 7 Char"/>
    <w:basedOn w:val="DefaultParagraphFont"/>
    <w:link w:val="Heading7"/>
    <w:uiPriority w:val="9"/>
    <w:semiHidden/>
    <w:rsid w:val="00190A37"/>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190A37"/>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190A37"/>
    <w:rPr>
      <w:rFonts w:eastAsiaTheme="majorEastAsia" w:cstheme="majorBidi"/>
      <w:color w:val="272727" w:themeColor="text1" w:themeTint="D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23204d-9544-4e77-a895-09c7656c012b">
      <Terms xmlns="http://schemas.microsoft.com/office/infopath/2007/PartnerControls"/>
    </lcf76f155ced4ddcb4097134ff3c332f>
    <_ip_UnifiedCompliancePolicyUIAction xmlns="http://schemas.microsoft.com/sharepoint/v3" xsi:nil="true"/>
    <Image xmlns="e023204d-9544-4e77-a895-09c7656c012b" xsi:nil="true"/>
    <_ip_UnifiedCompliancePolicyProperties xmlns="http://schemas.microsoft.com/sharepoint/v3" xsi:nil="true"/>
    <TaxCatchAll xmlns="169edc12-09cc-415d-b591-8d5669d1dbc8" xsi:nil="true"/>
    <Access xmlns="e023204d-9544-4e77-a895-09c7656c012b">
      <UserInfo>
        <DisplayName/>
        <AccountId xsi:nil="true"/>
        <AccountType/>
      </UserInfo>
    </Acces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5F7B2BE268004A85901982C1E5083E" ma:contentTypeVersion="23" ma:contentTypeDescription="Create a new document." ma:contentTypeScope="" ma:versionID="a7b04209dab7108f8b4e33f65ace7a4b">
  <xsd:schema xmlns:xsd="http://www.w3.org/2001/XMLSchema" xmlns:xs="http://www.w3.org/2001/XMLSchema" xmlns:p="http://schemas.microsoft.com/office/2006/metadata/properties" xmlns:ns1="http://schemas.microsoft.com/sharepoint/v3" xmlns:ns2="e023204d-9544-4e77-a895-09c7656c012b" xmlns:ns3="169edc12-09cc-415d-b591-8d5669d1dbc8" targetNamespace="http://schemas.microsoft.com/office/2006/metadata/properties" ma:root="true" ma:fieldsID="2d371d1663939473ed6d8929bffa9c5d" ns1:_="" ns2:_="" ns3:_="">
    <xsd:import namespace="http://schemas.microsoft.com/sharepoint/v3"/>
    <xsd:import namespace="e023204d-9544-4e77-a895-09c7656c012b"/>
    <xsd:import namespace="169edc12-09cc-415d-b591-8d5669d1dbc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Imag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23204d-9544-4e77-a895-09c7656c01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edc12-09cc-415d-b591-8d5669d1dbc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16b50e-8472-49da-b722-62249bbcaac2}" ma:internalName="TaxCatchAll" ma:showField="CatchAllData" ma:web="169edc12-09cc-415d-b591-8d5669d1db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060099-BEE7-4945-B5EA-52A8D589D4A2}">
  <ds:schemaRefs>
    <ds:schemaRef ds:uri="http://schemas.microsoft.com/office/2006/metadata/properties"/>
    <ds:schemaRef ds:uri="http://schemas.microsoft.com/office/infopath/2007/PartnerControls"/>
    <ds:schemaRef ds:uri="e023204d-9544-4e77-a895-09c7656c012b"/>
    <ds:schemaRef ds:uri="http://schemas.microsoft.com/sharepoint/v3"/>
    <ds:schemaRef ds:uri="169edc12-09cc-415d-b591-8d5669d1dbc8"/>
  </ds:schemaRefs>
</ds:datastoreItem>
</file>

<file path=customXml/itemProps2.xml><?xml version="1.0" encoding="utf-8"?>
<ds:datastoreItem xmlns:ds="http://schemas.openxmlformats.org/officeDocument/2006/customXml" ds:itemID="{11B28430-55BA-4CA8-B863-3C70C8F24DCC}">
  <ds:schemaRefs>
    <ds:schemaRef ds:uri="http://schemas.microsoft.com/sharepoint/v3/contenttype/forms"/>
  </ds:schemaRefs>
</ds:datastoreItem>
</file>

<file path=customXml/itemProps3.xml><?xml version="1.0" encoding="utf-8"?>
<ds:datastoreItem xmlns:ds="http://schemas.openxmlformats.org/officeDocument/2006/customXml" ds:itemID="{AFA74530-5B81-44FB-BE62-B48CD934E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23204d-9544-4e77-a895-09c7656c012b"/>
    <ds:schemaRef ds:uri="169edc12-09cc-415d-b591-8d5669d1db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1889</Words>
  <Characters>11395</Characters>
  <Application>Microsoft Office Word</Application>
  <DocSecurity>0</DocSecurity>
  <Lines>199</Lines>
  <Paragraphs>104</Paragraphs>
  <ScaleCrop>false</ScaleCrop>
  <Company>Ashfield District Council</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Millie.Connell</dc:creator>
  <cp:keywords/>
  <dc:description/>
  <cp:lastModifiedBy>Jake.Dalton</cp:lastModifiedBy>
  <cp:revision>2</cp:revision>
  <dcterms:created xsi:type="dcterms:W3CDTF">2026-10-27T16:45:00Z</dcterms:created>
  <dcterms:modified xsi:type="dcterms:W3CDTF">2026-10-27T16:45:00Z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0x010100905F7B2BE268004A85901982C1E5083E</vt:lpwstr>
  </property>
  <property fmtid="{D5CDD505-2E9C-101B-9397-08002B2CF9AE}" pid="3" name="MediaServiceImageTags">
    <vt:lpwstr/>
  </property>
</Properties>
</file>