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669CE" w14:textId="07C38B8F" w:rsidR="00253B18" w:rsidRPr="00253B18" w:rsidRDefault="00AD1C72" w:rsidP="00253B18">
      <w:pPr>
        <w:rPr>
          <w:rFonts w:ascii="Daytona Condensed Light" w:hAnsi="Daytona Condensed Light"/>
          <w:b/>
          <w:bCs/>
          <w:sz w:val="28"/>
          <w:szCs w:val="28"/>
        </w:rPr>
      </w:pPr>
      <w:r>
        <w:rPr>
          <w:rFonts w:ascii="Daytona Condensed Light" w:hAnsi="Daytona Condensed Light"/>
          <w:b/>
          <w:bCs/>
          <w:sz w:val="28"/>
          <w:szCs w:val="28"/>
        </w:rPr>
        <w:t xml:space="preserve">Aanwijzing: </w:t>
      </w:r>
      <w:r w:rsidR="00253B18" w:rsidRPr="00253B18">
        <w:rPr>
          <w:rFonts w:ascii="Daytona Condensed Light" w:hAnsi="Daytona Condensed Light"/>
          <w:b/>
          <w:bCs/>
          <w:sz w:val="28"/>
          <w:szCs w:val="28"/>
        </w:rPr>
        <w:t xml:space="preserve">Het doorberekenen van loon- en prijsstijgingen bij de (koop-/)aannemingsovereenkomsten van Woningborg, SWK en </w:t>
      </w:r>
      <w:proofErr w:type="spellStart"/>
      <w:r w:rsidR="00253B18" w:rsidRPr="00253B18">
        <w:rPr>
          <w:rFonts w:ascii="Daytona Condensed Light" w:hAnsi="Daytona Condensed Light"/>
          <w:b/>
          <w:bCs/>
          <w:sz w:val="28"/>
          <w:szCs w:val="28"/>
        </w:rPr>
        <w:t>BouwGarant</w:t>
      </w:r>
      <w:proofErr w:type="spellEnd"/>
      <w:r w:rsidR="00253B18" w:rsidRPr="00253B18">
        <w:rPr>
          <w:rFonts w:ascii="Daytona Condensed Light" w:hAnsi="Daytona Condensed Light"/>
          <w:b/>
          <w:bCs/>
          <w:sz w:val="28"/>
          <w:szCs w:val="28"/>
        </w:rPr>
        <w:t xml:space="preserve"> </w:t>
      </w:r>
      <w:r w:rsidRPr="00E232E8">
        <w:rPr>
          <w:rFonts w:ascii="Daytona Condensed Light" w:hAnsi="Daytona Condensed Light"/>
          <w:b/>
          <w:bCs/>
          <w:sz w:val="28"/>
          <w:szCs w:val="28"/>
        </w:rPr>
        <w:t>[</w:t>
      </w:r>
      <w:r w:rsidR="00153BC3">
        <w:rPr>
          <w:rFonts w:ascii="Daytona Condensed Light" w:hAnsi="Daytona Condensed Light"/>
          <w:b/>
          <w:bCs/>
          <w:sz w:val="28"/>
          <w:szCs w:val="28"/>
        </w:rPr>
        <w:t>april</w:t>
      </w:r>
      <w:r w:rsidRPr="00E232E8">
        <w:rPr>
          <w:rFonts w:ascii="Daytona Condensed Light" w:hAnsi="Daytona Condensed Light"/>
          <w:b/>
          <w:bCs/>
          <w:sz w:val="28"/>
          <w:szCs w:val="28"/>
        </w:rPr>
        <w:t xml:space="preserve"> 2026]</w:t>
      </w:r>
    </w:p>
    <w:p w14:paraId="78B7D51A" w14:textId="77777777" w:rsidR="00253B18" w:rsidRPr="00253B18" w:rsidRDefault="00253B18" w:rsidP="00253B18">
      <w:pPr>
        <w:rPr>
          <w:rFonts w:ascii="Daytona Condensed Light" w:hAnsi="Daytona Condensed Light"/>
        </w:rPr>
      </w:pPr>
    </w:p>
    <w:p w14:paraId="6715DE92" w14:textId="48301C3B" w:rsidR="00253B18" w:rsidRPr="00253B18" w:rsidRDefault="00253B18" w:rsidP="00253B18">
      <w:pPr>
        <w:rPr>
          <w:rFonts w:ascii="Daytona Condensed Light" w:hAnsi="Daytona Condensed Light"/>
          <w:b/>
          <w:bCs/>
          <w:sz w:val="20"/>
          <w:szCs w:val="20"/>
        </w:rPr>
      </w:pPr>
      <w:r w:rsidRPr="00253B18">
        <w:rPr>
          <w:rFonts w:ascii="Daytona Condensed Light" w:hAnsi="Daytona Condensed Light"/>
          <w:b/>
          <w:bCs/>
        </w:rPr>
        <w:t xml:space="preserve">Inleiding </w:t>
      </w:r>
    </w:p>
    <w:p w14:paraId="5E54EBCC" w14:textId="161F0273" w:rsidR="00253B18" w:rsidRPr="00253B18" w:rsidRDefault="00253B18" w:rsidP="00253B18">
      <w:pPr>
        <w:rPr>
          <w:rFonts w:ascii="Daytona Condensed Light" w:hAnsi="Daytona Condensed Light"/>
          <w:sz w:val="20"/>
          <w:szCs w:val="20"/>
        </w:rPr>
      </w:pPr>
      <w:r w:rsidRPr="00253B18">
        <w:rPr>
          <w:rFonts w:ascii="Daytona Condensed Light" w:hAnsi="Daytona Condensed Light"/>
          <w:sz w:val="20"/>
          <w:szCs w:val="20"/>
        </w:rPr>
        <w:t xml:space="preserve">Ongeveer 90% van alle woningbouwprojecten wordt gebouwd onder toepassing van het keurmerk van de Stichting Garantiewoning. Door eisen te stellen aan de (koop-)aannemingsovereenkomsten, de geschillenregeling en de te verstrekken garanties en waarborgen, bevordert dit keurmerk de kwaliteit en het vertrouwen tussen consument </w:t>
      </w:r>
      <w:r w:rsidR="00A61EB3">
        <w:rPr>
          <w:rFonts w:ascii="Daytona Condensed Light" w:hAnsi="Daytona Condensed Light"/>
          <w:sz w:val="20"/>
          <w:szCs w:val="20"/>
        </w:rPr>
        <w:t xml:space="preserve">(verkrijger) </w:t>
      </w:r>
      <w:r w:rsidRPr="00253B18">
        <w:rPr>
          <w:rFonts w:ascii="Daytona Condensed Light" w:hAnsi="Daytona Condensed Light"/>
          <w:sz w:val="20"/>
          <w:szCs w:val="20"/>
        </w:rPr>
        <w:t xml:space="preserve">en ondernemer. De garantie- en waarborgregelingen in de woningbouw met het keurmerk van de Stichting Garantiewoning, worden aangeboden door Woningborg N.V., de Stichting Waarborgfonds Koopwoningen (SWK) en de Stichting </w:t>
      </w:r>
      <w:proofErr w:type="spellStart"/>
      <w:r w:rsidRPr="00253B18">
        <w:rPr>
          <w:rFonts w:ascii="Daytona Condensed Light" w:hAnsi="Daytona Condensed Light"/>
          <w:sz w:val="20"/>
          <w:szCs w:val="20"/>
        </w:rPr>
        <w:t>BouwGarant</w:t>
      </w:r>
      <w:proofErr w:type="spellEnd"/>
      <w:r w:rsidRPr="00253B18">
        <w:rPr>
          <w:rFonts w:ascii="Daytona Condensed Light" w:hAnsi="Daytona Condensed Light"/>
          <w:sz w:val="20"/>
          <w:szCs w:val="20"/>
        </w:rPr>
        <w:t xml:space="preserve">. De meeste bouwondernemingen zijn wel bij één van deze Waarborgende instellingen aangesloten. </w:t>
      </w:r>
    </w:p>
    <w:p w14:paraId="7AE6DFDA" w14:textId="77777777" w:rsidR="00253B18" w:rsidRPr="00253B18" w:rsidRDefault="00253B18" w:rsidP="00253B18">
      <w:pPr>
        <w:rPr>
          <w:rFonts w:ascii="Daytona Condensed Light" w:hAnsi="Daytona Condensed Light"/>
          <w:b/>
          <w:bCs/>
          <w:sz w:val="20"/>
          <w:szCs w:val="20"/>
        </w:rPr>
      </w:pPr>
      <w:r w:rsidRPr="00253B18">
        <w:rPr>
          <w:rFonts w:ascii="Daytona Condensed Light" w:hAnsi="Daytona Condensed Light"/>
          <w:b/>
          <w:bCs/>
          <w:sz w:val="20"/>
          <w:szCs w:val="20"/>
        </w:rPr>
        <w:t xml:space="preserve">Modelovereenkomsten en voorwaarden </w:t>
      </w:r>
    </w:p>
    <w:p w14:paraId="30F98712" w14:textId="5C2B4F1C" w:rsidR="00253B18" w:rsidRPr="00253B18" w:rsidRDefault="00253B18" w:rsidP="00253B18">
      <w:pPr>
        <w:rPr>
          <w:rFonts w:ascii="Daytona Condensed Light" w:hAnsi="Daytona Condensed Light"/>
          <w:sz w:val="20"/>
          <w:szCs w:val="20"/>
        </w:rPr>
      </w:pPr>
      <w:r w:rsidRPr="00253B18">
        <w:rPr>
          <w:rFonts w:ascii="Daytona Condensed Light" w:hAnsi="Daytona Condensed Light"/>
          <w:sz w:val="20"/>
          <w:szCs w:val="20"/>
        </w:rPr>
        <w:t xml:space="preserve">Een ondernemer die een woningbouwproject onder het keurmerk wil aanbieden, moet (verplicht) de daarbij behorende modelovereenkomsten en voorwaarden toepassen. Deze voorwaarden staan bij de verschillende Waarborgende instellingen op de website en zijn onderverdeeld naar de diverse type bouwwerken. Er zijn bijvoorbeeld modelovereenkomsten en voorwaarden voor kavelbouw, voor grondgebonden eengezinswoningen en voor appartementen. </w:t>
      </w:r>
    </w:p>
    <w:p w14:paraId="6FBF8C70" w14:textId="77777777" w:rsidR="00253B18" w:rsidRPr="00253B18" w:rsidRDefault="00253B18" w:rsidP="00253B18">
      <w:pPr>
        <w:rPr>
          <w:rFonts w:ascii="Daytona Condensed Light" w:hAnsi="Daytona Condensed Light"/>
          <w:b/>
          <w:bCs/>
          <w:sz w:val="20"/>
          <w:szCs w:val="20"/>
        </w:rPr>
      </w:pPr>
      <w:r w:rsidRPr="00253B18">
        <w:rPr>
          <w:rFonts w:ascii="Daytona Condensed Light" w:hAnsi="Daytona Condensed Light"/>
          <w:b/>
          <w:bCs/>
          <w:sz w:val="20"/>
          <w:szCs w:val="20"/>
        </w:rPr>
        <w:t xml:space="preserve">Het doorberekenen van loon- en prijsstijgingen </w:t>
      </w:r>
    </w:p>
    <w:p w14:paraId="3F87ED35" w14:textId="5C7789E9" w:rsidR="00253B18" w:rsidRPr="00253B18" w:rsidRDefault="00253B18" w:rsidP="00253B18">
      <w:pPr>
        <w:rPr>
          <w:rFonts w:ascii="Daytona Condensed Light" w:hAnsi="Daytona Condensed Light"/>
          <w:sz w:val="20"/>
          <w:szCs w:val="20"/>
        </w:rPr>
      </w:pPr>
      <w:r w:rsidRPr="00253B18">
        <w:rPr>
          <w:rFonts w:ascii="Daytona Condensed Light" w:hAnsi="Daytona Condensed Light"/>
          <w:sz w:val="20"/>
          <w:szCs w:val="20"/>
        </w:rPr>
        <w:t xml:space="preserve">In de </w:t>
      </w:r>
      <w:r w:rsidR="00D81623">
        <w:rPr>
          <w:rFonts w:ascii="Daytona Condensed Light" w:hAnsi="Daytona Condensed Light"/>
          <w:sz w:val="20"/>
          <w:szCs w:val="20"/>
        </w:rPr>
        <w:t xml:space="preserve">bij de modelovereenkomsten behorende algemene </w:t>
      </w:r>
      <w:r w:rsidRPr="00253B18">
        <w:rPr>
          <w:rFonts w:ascii="Daytona Condensed Light" w:hAnsi="Daytona Condensed Light"/>
          <w:sz w:val="20"/>
          <w:szCs w:val="20"/>
        </w:rPr>
        <w:t xml:space="preserve">voorwaarden is een breed scala aan onderwerpen geregeld, waaronder het doorberekenen van prijsstijgingen. In beginsel is het doorberekenen van hogere of lagere kosten van lonen, sociale lasten en materialen uitgesloten. Van dat uitgangspunt </w:t>
      </w:r>
      <w:r w:rsidR="009326AB">
        <w:rPr>
          <w:rFonts w:ascii="Daytona Condensed Light" w:hAnsi="Daytona Condensed Light"/>
          <w:sz w:val="20"/>
          <w:szCs w:val="20"/>
        </w:rPr>
        <w:t>kan worden afgeweken</w:t>
      </w:r>
      <w:r w:rsidRPr="00253B18">
        <w:rPr>
          <w:rFonts w:ascii="Daytona Condensed Light" w:hAnsi="Daytona Condensed Light"/>
          <w:sz w:val="20"/>
          <w:szCs w:val="20"/>
        </w:rPr>
        <w:t>, maar dat moeten partijen da</w:t>
      </w:r>
      <w:r w:rsidR="00AC7FEC">
        <w:rPr>
          <w:rFonts w:ascii="Daytona Condensed Light" w:hAnsi="Daytona Condensed Light"/>
          <w:sz w:val="20"/>
          <w:szCs w:val="20"/>
        </w:rPr>
        <w:t>n</w:t>
      </w:r>
      <w:r w:rsidRPr="00253B18">
        <w:rPr>
          <w:rFonts w:ascii="Daytona Condensed Light" w:hAnsi="Daytona Condensed Light"/>
          <w:sz w:val="20"/>
          <w:szCs w:val="20"/>
        </w:rPr>
        <w:t xml:space="preserve"> wel uitdrukkelijk </w:t>
      </w:r>
      <w:r w:rsidR="00D0010C">
        <w:rPr>
          <w:rFonts w:ascii="Daytona Condensed Light" w:hAnsi="Daytona Condensed Light"/>
          <w:sz w:val="20"/>
          <w:szCs w:val="20"/>
        </w:rPr>
        <w:t>afspreken en</w:t>
      </w:r>
      <w:r w:rsidR="006D4325">
        <w:rPr>
          <w:rFonts w:ascii="Daytona Condensed Light" w:hAnsi="Daytona Condensed Light"/>
          <w:sz w:val="20"/>
          <w:szCs w:val="20"/>
        </w:rPr>
        <w:t xml:space="preserve"> </w:t>
      </w:r>
      <w:r w:rsidR="001530F9">
        <w:rPr>
          <w:rFonts w:ascii="Daytona Condensed Light" w:hAnsi="Daytona Condensed Light"/>
          <w:sz w:val="20"/>
          <w:szCs w:val="20"/>
        </w:rPr>
        <w:t xml:space="preserve">hiervoor </w:t>
      </w:r>
      <w:r w:rsidRPr="00253B18">
        <w:rPr>
          <w:rFonts w:ascii="Daytona Condensed Light" w:hAnsi="Daytona Condensed Light"/>
          <w:sz w:val="20"/>
          <w:szCs w:val="20"/>
        </w:rPr>
        <w:t xml:space="preserve">in de overeenkomst </w:t>
      </w:r>
      <w:r w:rsidR="006D4325">
        <w:rPr>
          <w:rFonts w:ascii="Daytona Condensed Light" w:hAnsi="Daytona Condensed Light"/>
          <w:sz w:val="20"/>
          <w:szCs w:val="20"/>
        </w:rPr>
        <w:t xml:space="preserve">zelf </w:t>
      </w:r>
      <w:r w:rsidRPr="00253B18">
        <w:rPr>
          <w:rFonts w:ascii="Daytona Condensed Light" w:hAnsi="Daytona Condensed Light"/>
          <w:sz w:val="20"/>
          <w:szCs w:val="20"/>
        </w:rPr>
        <w:t>een verrekenpost - ‘post risicoverrekening’ – op</w:t>
      </w:r>
      <w:r w:rsidR="006D4325">
        <w:rPr>
          <w:rFonts w:ascii="Daytona Condensed Light" w:hAnsi="Daytona Condensed Light"/>
          <w:sz w:val="20"/>
          <w:szCs w:val="20"/>
        </w:rPr>
        <w:t>nemen</w:t>
      </w:r>
      <w:r w:rsidRPr="00253B18">
        <w:rPr>
          <w:rFonts w:ascii="Daytona Condensed Light" w:hAnsi="Daytona Condensed Light"/>
          <w:sz w:val="20"/>
          <w:szCs w:val="20"/>
        </w:rPr>
        <w:t xml:space="preserve">. </w:t>
      </w:r>
    </w:p>
    <w:p w14:paraId="654270AE" w14:textId="41C0C4A5" w:rsidR="00253B18" w:rsidRPr="00253B18" w:rsidRDefault="00253B18" w:rsidP="00253B18">
      <w:pPr>
        <w:rPr>
          <w:rFonts w:ascii="Daytona Condensed Light" w:hAnsi="Daytona Condensed Light"/>
          <w:sz w:val="20"/>
          <w:szCs w:val="20"/>
        </w:rPr>
      </w:pPr>
      <w:r w:rsidRPr="00253B18">
        <w:rPr>
          <w:rFonts w:ascii="Daytona Condensed Light" w:hAnsi="Daytona Condensed Light"/>
          <w:sz w:val="20"/>
          <w:szCs w:val="20"/>
        </w:rPr>
        <w:t xml:space="preserve">Prijsstijgingen kunnen tot maximaal het overeengekomen bedrag ten laste worden gebracht van de verrekenpost volgens een daarvoor tussen ondernemer en verkrijger overeen te komen maatstaf. </w:t>
      </w:r>
    </w:p>
    <w:p w14:paraId="40E9BF71" w14:textId="0D47FC47" w:rsidR="00253B18" w:rsidRPr="00253B18" w:rsidRDefault="00253B18" w:rsidP="00253B18">
      <w:pPr>
        <w:rPr>
          <w:rFonts w:ascii="Daytona Condensed Light" w:hAnsi="Daytona Condensed Light"/>
          <w:sz w:val="20"/>
          <w:szCs w:val="20"/>
        </w:rPr>
      </w:pPr>
      <w:r w:rsidRPr="00253B18">
        <w:rPr>
          <w:rFonts w:ascii="Daytona Condensed Light" w:hAnsi="Daytona Condensed Light"/>
          <w:sz w:val="20"/>
          <w:szCs w:val="20"/>
        </w:rPr>
        <w:t xml:space="preserve">Voorbeeld uit de algemene voorwaarden behorende bij één van de modelovereenkomsten: </w:t>
      </w:r>
    </w:p>
    <w:p w14:paraId="62623208" w14:textId="77777777" w:rsidR="00253B18" w:rsidRPr="00AD1C72" w:rsidRDefault="00253B18" w:rsidP="00253B18">
      <w:pPr>
        <w:rPr>
          <w:rFonts w:ascii="Daytona Condensed Light" w:hAnsi="Daytona Condensed Light"/>
          <w:b/>
          <w:bCs/>
          <w:sz w:val="16"/>
          <w:szCs w:val="16"/>
        </w:rPr>
      </w:pPr>
      <w:r w:rsidRPr="00AD1C72">
        <w:rPr>
          <w:rFonts w:ascii="Daytona Condensed Light" w:hAnsi="Daytona Condensed Light"/>
          <w:b/>
          <w:bCs/>
          <w:sz w:val="16"/>
          <w:szCs w:val="16"/>
        </w:rPr>
        <w:t xml:space="preserve">ARTIKEL 5 - Doorberekening van loon- en prijsstijgingen </w:t>
      </w:r>
    </w:p>
    <w:p w14:paraId="2683C6B7" w14:textId="77777777" w:rsidR="00EA2F32" w:rsidRPr="00AD1C72" w:rsidRDefault="00253B18" w:rsidP="00253B18">
      <w:pPr>
        <w:rPr>
          <w:rFonts w:ascii="Daytona Condensed Light" w:hAnsi="Daytona Condensed Light"/>
          <w:sz w:val="16"/>
          <w:szCs w:val="16"/>
        </w:rPr>
      </w:pPr>
      <w:r w:rsidRPr="00AD1C72">
        <w:rPr>
          <w:rFonts w:ascii="Daytona Condensed Light" w:hAnsi="Daytona Condensed Light"/>
          <w:sz w:val="16"/>
          <w:szCs w:val="16"/>
        </w:rPr>
        <w:t xml:space="preserve">1. Doorberekening van meerdere of mindere kosten ten gevolge van wijziging van lonen, sociale lasten en materiaalprijzen is uitgesloten, tenzij bij het aangaan van de aannemingsovereenkomst anders is overeengekomen; in dat geval moet in de aannemingsovereenkomst een post risicoverrekening worden opgenomen tot het maximum waarvan doorberekening kan plaatsvinden, en in een schriftelijke overeenkomst worden geregeld vanaf welke datum en volgens welke maatstaf die doorberekening zal plaatsvinden en hoe en wanneer de betaling moet geschieden.  </w:t>
      </w:r>
    </w:p>
    <w:p w14:paraId="173C9D39" w14:textId="028E41ED" w:rsidR="00253B18" w:rsidRPr="00AD1C72" w:rsidRDefault="00253B18" w:rsidP="00253B18">
      <w:pPr>
        <w:rPr>
          <w:rFonts w:ascii="Daytona Condensed Light" w:hAnsi="Daytona Condensed Light"/>
          <w:sz w:val="16"/>
          <w:szCs w:val="16"/>
        </w:rPr>
      </w:pPr>
      <w:r w:rsidRPr="00AD1C72">
        <w:rPr>
          <w:rFonts w:ascii="Daytona Condensed Light" w:hAnsi="Daytona Condensed Light"/>
          <w:sz w:val="16"/>
          <w:szCs w:val="16"/>
        </w:rPr>
        <w:t xml:space="preserve">2. Indien van overheidswege het percentage van de omzetbelasting (BTW) wordt gewijzigd, zal tussen partijen verrekening plaatsvinden overeenkomstig de wettelijke bepalingen ter zake.  </w:t>
      </w:r>
    </w:p>
    <w:p w14:paraId="0B684204" w14:textId="4B53292D" w:rsidR="00253B18" w:rsidRPr="00EA2F32" w:rsidRDefault="00253B18" w:rsidP="00253B18">
      <w:pPr>
        <w:rPr>
          <w:rFonts w:ascii="Daytona Condensed Light" w:hAnsi="Daytona Condensed Light"/>
          <w:b/>
          <w:bCs/>
          <w:sz w:val="20"/>
          <w:szCs w:val="20"/>
        </w:rPr>
      </w:pPr>
      <w:r w:rsidRPr="00EA2F32">
        <w:rPr>
          <w:rFonts w:ascii="Daytona Condensed Light" w:hAnsi="Daytona Condensed Light"/>
          <w:b/>
          <w:bCs/>
          <w:sz w:val="20"/>
          <w:szCs w:val="20"/>
        </w:rPr>
        <w:t xml:space="preserve">Standaard contractclausules post risicoverrekening  </w:t>
      </w:r>
    </w:p>
    <w:p w14:paraId="7A4CCF83" w14:textId="77777777" w:rsidR="00447469" w:rsidRDefault="00253B18" w:rsidP="00253B18">
      <w:pPr>
        <w:rPr>
          <w:rFonts w:ascii="Daytona Condensed Light" w:hAnsi="Daytona Condensed Light"/>
          <w:sz w:val="20"/>
          <w:szCs w:val="20"/>
        </w:rPr>
      </w:pPr>
      <w:r w:rsidRPr="00253B18">
        <w:rPr>
          <w:rFonts w:ascii="Daytona Condensed Light" w:hAnsi="Daytona Condensed Light"/>
          <w:sz w:val="20"/>
          <w:szCs w:val="20"/>
        </w:rPr>
        <w:t xml:space="preserve">De Waarborgende instellingen hebben ieder voor zich clausules opgesteld, die in een (koop/)aannemingsovereenkomst gebruikt kunnen worden om een risicoverrekening overeen te komen. </w:t>
      </w:r>
      <w:r w:rsidR="00447469">
        <w:rPr>
          <w:rFonts w:ascii="Daytona Condensed Light" w:hAnsi="Daytona Condensed Light"/>
          <w:sz w:val="20"/>
          <w:szCs w:val="20"/>
        </w:rPr>
        <w:t xml:space="preserve">Je kunt deze opvragen bij de betreffende waarborgende instelling. </w:t>
      </w:r>
    </w:p>
    <w:p w14:paraId="5389DD1D" w14:textId="58E8DD97" w:rsidR="00447469" w:rsidRDefault="009654ED" w:rsidP="00253B18">
      <w:pPr>
        <w:rPr>
          <w:rFonts w:ascii="Daytona Condensed Light" w:hAnsi="Daytona Condensed Light"/>
          <w:sz w:val="20"/>
          <w:szCs w:val="20"/>
        </w:rPr>
      </w:pPr>
      <w:r>
        <w:rPr>
          <w:rFonts w:ascii="Daytona Condensed Light" w:hAnsi="Daytona Condensed Light"/>
          <w:sz w:val="20"/>
          <w:szCs w:val="20"/>
        </w:rPr>
        <w:t xml:space="preserve">Zo kennen Woningborg en SWK </w:t>
      </w:r>
      <w:r w:rsidR="0038778A">
        <w:rPr>
          <w:rFonts w:ascii="Daytona Condensed Light" w:hAnsi="Daytona Condensed Light"/>
          <w:sz w:val="20"/>
          <w:szCs w:val="20"/>
        </w:rPr>
        <w:t xml:space="preserve">gelijkluidende clausules voor de </w:t>
      </w:r>
      <w:r w:rsidR="0048371D">
        <w:rPr>
          <w:rFonts w:ascii="Daytona Condensed Light" w:hAnsi="Daytona Condensed Light"/>
          <w:sz w:val="20"/>
          <w:szCs w:val="20"/>
        </w:rPr>
        <w:t>k</w:t>
      </w:r>
      <w:r w:rsidR="0038778A">
        <w:rPr>
          <w:rFonts w:ascii="Daytona Condensed Light" w:hAnsi="Daytona Condensed Light"/>
          <w:sz w:val="20"/>
          <w:szCs w:val="20"/>
        </w:rPr>
        <w:t xml:space="preserve">oop-/aannemingsovereenkomst, de aannemingsovereenkomst kavelbouw en projectmatige bouw. </w:t>
      </w:r>
      <w:r w:rsidR="006760A8">
        <w:rPr>
          <w:rFonts w:ascii="Daytona Condensed Light" w:hAnsi="Daytona Condensed Light"/>
          <w:sz w:val="20"/>
          <w:szCs w:val="20"/>
        </w:rPr>
        <w:t>Wat wel en niet kan is</w:t>
      </w:r>
      <w:r w:rsidR="00CA159D">
        <w:rPr>
          <w:rFonts w:ascii="Daytona Condensed Light" w:hAnsi="Daytona Condensed Light"/>
          <w:sz w:val="20"/>
          <w:szCs w:val="20"/>
        </w:rPr>
        <w:t xml:space="preserve"> allereerst</w:t>
      </w:r>
      <w:r w:rsidR="006760A8">
        <w:rPr>
          <w:rFonts w:ascii="Daytona Condensed Light" w:hAnsi="Daytona Condensed Light"/>
          <w:sz w:val="20"/>
          <w:szCs w:val="20"/>
        </w:rPr>
        <w:t xml:space="preserve"> afhankelijk van hetgeen partijen bepalen ten aanzien van </w:t>
      </w:r>
      <w:r w:rsidR="00C00A66">
        <w:rPr>
          <w:rFonts w:ascii="Daytona Condensed Light" w:hAnsi="Daytona Condensed Light"/>
          <w:sz w:val="20"/>
          <w:szCs w:val="20"/>
        </w:rPr>
        <w:t xml:space="preserve">het moment waarop </w:t>
      </w:r>
      <w:r w:rsidR="006760A8">
        <w:rPr>
          <w:rFonts w:ascii="Daytona Condensed Light" w:hAnsi="Daytona Condensed Light"/>
          <w:sz w:val="20"/>
          <w:szCs w:val="20"/>
        </w:rPr>
        <w:t>de start bouw of levering</w:t>
      </w:r>
      <w:r w:rsidR="00C00A66">
        <w:rPr>
          <w:rFonts w:ascii="Daytona Condensed Light" w:hAnsi="Daytona Condensed Light"/>
          <w:sz w:val="20"/>
          <w:szCs w:val="20"/>
        </w:rPr>
        <w:t xml:space="preserve"> uiterlijk zal plaatsvinden</w:t>
      </w:r>
      <w:r w:rsidR="00EE74EA">
        <w:rPr>
          <w:rFonts w:ascii="Daytona Condensed Light" w:hAnsi="Daytona Condensed Light"/>
          <w:sz w:val="20"/>
          <w:szCs w:val="20"/>
        </w:rPr>
        <w:t xml:space="preserve">. </w:t>
      </w:r>
      <w:r w:rsidR="00CA159D">
        <w:rPr>
          <w:rFonts w:ascii="Daytona Condensed Light" w:hAnsi="Daytona Condensed Light"/>
          <w:sz w:val="20"/>
          <w:szCs w:val="20"/>
        </w:rPr>
        <w:t xml:space="preserve">Vervolgens </w:t>
      </w:r>
      <w:r w:rsidR="00450D59">
        <w:rPr>
          <w:rFonts w:ascii="Daytona Condensed Light" w:hAnsi="Daytona Condensed Light"/>
          <w:sz w:val="20"/>
          <w:szCs w:val="20"/>
        </w:rPr>
        <w:t xml:space="preserve">moet worden </w:t>
      </w:r>
      <w:r w:rsidR="00CA159D">
        <w:rPr>
          <w:rFonts w:ascii="Daytona Condensed Light" w:hAnsi="Daytona Condensed Light"/>
          <w:sz w:val="20"/>
          <w:szCs w:val="20"/>
        </w:rPr>
        <w:t xml:space="preserve">aangegeven </w:t>
      </w:r>
      <w:r w:rsidR="00450D59">
        <w:rPr>
          <w:rFonts w:ascii="Daytona Condensed Light" w:hAnsi="Daytona Condensed Light"/>
          <w:sz w:val="20"/>
          <w:szCs w:val="20"/>
        </w:rPr>
        <w:t xml:space="preserve">met welk percentage de aanneemsom maandelijks </w:t>
      </w:r>
      <w:r w:rsidR="00AB0822">
        <w:rPr>
          <w:rFonts w:ascii="Daytona Condensed Light" w:hAnsi="Daytona Condensed Light"/>
          <w:sz w:val="20"/>
          <w:szCs w:val="20"/>
        </w:rPr>
        <w:t>verhoogd mag worden</w:t>
      </w:r>
      <w:r w:rsidR="00012F77">
        <w:rPr>
          <w:rFonts w:ascii="Daytona Condensed Light" w:hAnsi="Daytona Condensed Light"/>
          <w:sz w:val="20"/>
          <w:szCs w:val="20"/>
        </w:rPr>
        <w:t xml:space="preserve">, en welk maximum aan de </w:t>
      </w:r>
      <w:r w:rsidR="00195CF8">
        <w:rPr>
          <w:rFonts w:ascii="Daytona Condensed Light" w:hAnsi="Daytona Condensed Light"/>
          <w:sz w:val="20"/>
          <w:szCs w:val="20"/>
        </w:rPr>
        <w:t xml:space="preserve">uiteindelijke totale </w:t>
      </w:r>
      <w:r w:rsidR="00012F77">
        <w:rPr>
          <w:rFonts w:ascii="Daytona Condensed Light" w:hAnsi="Daytona Condensed Light"/>
          <w:sz w:val="20"/>
          <w:szCs w:val="20"/>
        </w:rPr>
        <w:t xml:space="preserve">verhoging </w:t>
      </w:r>
      <w:r w:rsidR="00195CF8">
        <w:rPr>
          <w:rFonts w:ascii="Daytona Condensed Light" w:hAnsi="Daytona Condensed Light"/>
          <w:sz w:val="20"/>
          <w:szCs w:val="20"/>
        </w:rPr>
        <w:t>wordt</w:t>
      </w:r>
      <w:r w:rsidR="00012F77">
        <w:rPr>
          <w:rFonts w:ascii="Daytona Condensed Light" w:hAnsi="Daytona Condensed Light"/>
          <w:sz w:val="20"/>
          <w:szCs w:val="20"/>
        </w:rPr>
        <w:t xml:space="preserve"> gesteld. </w:t>
      </w:r>
      <w:r w:rsidR="00447469">
        <w:rPr>
          <w:rFonts w:ascii="Daytona Condensed Light" w:hAnsi="Daytona Condensed Light"/>
          <w:sz w:val="20"/>
          <w:szCs w:val="20"/>
        </w:rPr>
        <w:t>Je</w:t>
      </w:r>
      <w:r w:rsidR="005C0300">
        <w:rPr>
          <w:rFonts w:ascii="Daytona Condensed Light" w:hAnsi="Daytona Condensed Light"/>
          <w:sz w:val="20"/>
          <w:szCs w:val="20"/>
        </w:rPr>
        <w:t xml:space="preserve"> dient er wel op bedacht te zijn dat </w:t>
      </w:r>
      <w:r w:rsidR="001A1D2D">
        <w:rPr>
          <w:rFonts w:ascii="Daytona Condensed Light" w:hAnsi="Daytona Condensed Light"/>
          <w:sz w:val="20"/>
          <w:szCs w:val="20"/>
        </w:rPr>
        <w:t>bij een verhoging de nieuwe aan</w:t>
      </w:r>
      <w:r w:rsidR="00A67E27">
        <w:rPr>
          <w:rFonts w:ascii="Daytona Condensed Light" w:hAnsi="Daytona Condensed Light"/>
          <w:sz w:val="20"/>
          <w:szCs w:val="20"/>
        </w:rPr>
        <w:t>n</w:t>
      </w:r>
      <w:r w:rsidR="001A1D2D">
        <w:rPr>
          <w:rFonts w:ascii="Daytona Condensed Light" w:hAnsi="Daytona Condensed Light"/>
          <w:sz w:val="20"/>
          <w:szCs w:val="20"/>
        </w:rPr>
        <w:t>eemsom</w:t>
      </w:r>
      <w:r w:rsidR="00AB0822">
        <w:rPr>
          <w:rFonts w:ascii="Daytona Condensed Light" w:hAnsi="Daytona Condensed Light"/>
          <w:sz w:val="20"/>
          <w:szCs w:val="20"/>
        </w:rPr>
        <w:t xml:space="preserve"> tijdig</w:t>
      </w:r>
      <w:r w:rsidR="001A1D2D">
        <w:rPr>
          <w:rFonts w:ascii="Daytona Condensed Light" w:hAnsi="Daytona Condensed Light"/>
          <w:sz w:val="20"/>
          <w:szCs w:val="20"/>
        </w:rPr>
        <w:t xml:space="preserve"> aan de verkrijger en SWK of Woningborg moet worden </w:t>
      </w:r>
      <w:r w:rsidR="00A67E27">
        <w:rPr>
          <w:rFonts w:ascii="Daytona Condensed Light" w:hAnsi="Daytona Condensed Light"/>
          <w:sz w:val="20"/>
          <w:szCs w:val="20"/>
        </w:rPr>
        <w:t>doorgegeven</w:t>
      </w:r>
      <w:r w:rsidR="00AB0822">
        <w:rPr>
          <w:rFonts w:ascii="Daytona Condensed Light" w:hAnsi="Daytona Condensed Light"/>
          <w:sz w:val="20"/>
          <w:szCs w:val="20"/>
        </w:rPr>
        <w:t xml:space="preserve">. Gebeurt dat niet dan mag </w:t>
      </w:r>
      <w:r w:rsidR="00447469">
        <w:rPr>
          <w:rFonts w:ascii="Daytona Condensed Light" w:hAnsi="Daytona Condensed Light"/>
          <w:sz w:val="20"/>
          <w:szCs w:val="20"/>
        </w:rPr>
        <w:t>geen doorberekening mag plaatsvinden.</w:t>
      </w:r>
      <w:r w:rsidR="001A5E9D">
        <w:rPr>
          <w:rFonts w:ascii="Daytona Condensed Light" w:hAnsi="Daytona Condensed Light"/>
          <w:sz w:val="20"/>
          <w:szCs w:val="20"/>
        </w:rPr>
        <w:t xml:space="preserve"> </w:t>
      </w:r>
      <w:proofErr w:type="spellStart"/>
      <w:r w:rsidR="00D61B60">
        <w:rPr>
          <w:rFonts w:ascii="Daytona Condensed Light" w:hAnsi="Daytona Condensed Light"/>
          <w:sz w:val="20"/>
          <w:szCs w:val="20"/>
        </w:rPr>
        <w:t>BouwGarant</w:t>
      </w:r>
      <w:proofErr w:type="spellEnd"/>
      <w:r w:rsidR="00D61B60">
        <w:rPr>
          <w:rFonts w:ascii="Daytona Condensed Light" w:hAnsi="Daytona Condensed Light"/>
          <w:sz w:val="20"/>
          <w:szCs w:val="20"/>
        </w:rPr>
        <w:t xml:space="preserve"> hanteert weer een iets afwijkende clausule.</w:t>
      </w:r>
    </w:p>
    <w:p w14:paraId="2603CF87" w14:textId="77777777" w:rsidR="001530F9" w:rsidRDefault="001530F9" w:rsidP="00253B18">
      <w:pPr>
        <w:rPr>
          <w:rFonts w:ascii="Daytona Condensed Light" w:hAnsi="Daytona Condensed Light"/>
          <w:b/>
          <w:bCs/>
          <w:sz w:val="20"/>
          <w:szCs w:val="20"/>
        </w:rPr>
      </w:pPr>
    </w:p>
    <w:p w14:paraId="5D70A9AF" w14:textId="70F299D1" w:rsidR="00253B18" w:rsidRPr="00EA2F32" w:rsidRDefault="00EA2F32" w:rsidP="00253B18">
      <w:pPr>
        <w:rPr>
          <w:rFonts w:ascii="Daytona Condensed Light" w:hAnsi="Daytona Condensed Light"/>
          <w:b/>
          <w:bCs/>
          <w:sz w:val="20"/>
          <w:szCs w:val="20"/>
        </w:rPr>
      </w:pPr>
      <w:r w:rsidRPr="00EA2F32">
        <w:rPr>
          <w:rFonts w:ascii="Daytona Condensed Light" w:hAnsi="Daytona Condensed Light"/>
          <w:b/>
          <w:bCs/>
          <w:sz w:val="20"/>
          <w:szCs w:val="20"/>
        </w:rPr>
        <w:t>De a</w:t>
      </w:r>
      <w:r w:rsidR="00253B18" w:rsidRPr="00EA2F32">
        <w:rPr>
          <w:rFonts w:ascii="Daytona Condensed Light" w:hAnsi="Daytona Condensed Light"/>
          <w:b/>
          <w:bCs/>
          <w:sz w:val="20"/>
          <w:szCs w:val="20"/>
        </w:rPr>
        <w:t xml:space="preserve">andachtspunten bij het opnemen van een verrekenpost risico prijsstijgingen </w:t>
      </w:r>
    </w:p>
    <w:p w14:paraId="6762D17C" w14:textId="6AB3C8D0" w:rsidR="00253B18" w:rsidRPr="00253B18" w:rsidRDefault="00253B18" w:rsidP="00253B18">
      <w:pPr>
        <w:rPr>
          <w:rFonts w:ascii="Daytona Condensed Light" w:hAnsi="Daytona Condensed Light"/>
          <w:sz w:val="20"/>
          <w:szCs w:val="20"/>
        </w:rPr>
      </w:pPr>
      <w:r w:rsidRPr="00253B18">
        <w:rPr>
          <w:rFonts w:ascii="Segoe UI Symbol" w:hAnsi="Segoe UI Symbol" w:cs="Segoe UI Symbol"/>
          <w:sz w:val="20"/>
          <w:szCs w:val="20"/>
        </w:rPr>
        <w:t>➢</w:t>
      </w:r>
      <w:r w:rsidRPr="00253B18">
        <w:rPr>
          <w:rFonts w:ascii="Daytona Condensed Light" w:hAnsi="Daytona Condensed Light"/>
          <w:sz w:val="20"/>
          <w:szCs w:val="20"/>
        </w:rPr>
        <w:t xml:space="preserve"> De verkrijger moet voorafgaand aan het sluiten van een (koop-/)aannemingsovereenkomst expliciet worden gewezen op de ‘Doorberekening van loon- en prijsstijgingen’ en de daarvoor in de overeenkomst opgenomen ‘post risicoverrekening’. Dit kan immers gevolgen hebben voor de financiering</w:t>
      </w:r>
      <w:r w:rsidR="00382039">
        <w:rPr>
          <w:rFonts w:ascii="Daytona Condensed Light" w:hAnsi="Daytona Condensed Light"/>
          <w:sz w:val="20"/>
          <w:szCs w:val="20"/>
        </w:rPr>
        <w:t xml:space="preserve"> en diens financieringsvoorbehoud</w:t>
      </w:r>
      <w:r w:rsidRPr="00253B18">
        <w:rPr>
          <w:rFonts w:ascii="Daytona Condensed Light" w:hAnsi="Daytona Condensed Light"/>
          <w:sz w:val="20"/>
          <w:szCs w:val="20"/>
        </w:rPr>
        <w:t xml:space="preserve">; </w:t>
      </w:r>
    </w:p>
    <w:p w14:paraId="6576DD1F" w14:textId="4FCA2585" w:rsidR="00253B18" w:rsidRPr="00253B18" w:rsidRDefault="00253B18" w:rsidP="00253B18">
      <w:pPr>
        <w:rPr>
          <w:rFonts w:ascii="Daytona Condensed Light" w:hAnsi="Daytona Condensed Light"/>
          <w:sz w:val="20"/>
          <w:szCs w:val="20"/>
        </w:rPr>
      </w:pPr>
      <w:r w:rsidRPr="00253B18">
        <w:rPr>
          <w:rFonts w:ascii="Segoe UI Symbol" w:hAnsi="Segoe UI Symbol" w:cs="Segoe UI Symbol"/>
          <w:sz w:val="20"/>
          <w:szCs w:val="20"/>
        </w:rPr>
        <w:t>➢</w:t>
      </w:r>
      <w:r w:rsidRPr="00253B18">
        <w:rPr>
          <w:rFonts w:ascii="Daytona Condensed Light" w:hAnsi="Daytona Condensed Light"/>
          <w:sz w:val="20"/>
          <w:szCs w:val="20"/>
        </w:rPr>
        <w:t xml:space="preserve"> Koop je vroegtijdig in om prijsstijgingen voor te zijn, verdisconteer dan in de aanneemsom de kosten van voorfinanciering, opslagfaciliteit(en) en eventueel andere daarmee samenhangende maatregelen; </w:t>
      </w:r>
    </w:p>
    <w:p w14:paraId="06D3EDDA" w14:textId="7A340C51" w:rsidR="005168AA" w:rsidRDefault="00253B18" w:rsidP="005168AA">
      <w:pPr>
        <w:rPr>
          <w:rFonts w:ascii="Daytona Condensed Light" w:hAnsi="Daytona Condensed Light"/>
          <w:sz w:val="20"/>
          <w:szCs w:val="20"/>
        </w:rPr>
      </w:pPr>
      <w:r w:rsidRPr="00253B18">
        <w:rPr>
          <w:rFonts w:ascii="Segoe UI Symbol" w:hAnsi="Segoe UI Symbol" w:cs="Segoe UI Symbol"/>
          <w:sz w:val="20"/>
          <w:szCs w:val="20"/>
        </w:rPr>
        <w:t>➢</w:t>
      </w:r>
      <w:r w:rsidRPr="00253B18">
        <w:rPr>
          <w:rFonts w:ascii="Daytona Condensed Light" w:hAnsi="Daytona Condensed Light"/>
          <w:sz w:val="20"/>
          <w:szCs w:val="20"/>
        </w:rPr>
        <w:t xml:space="preserve"> Waarschuw de verkrijger</w:t>
      </w:r>
      <w:r w:rsidR="00FF6277">
        <w:rPr>
          <w:rFonts w:ascii="Daytona Condensed Light" w:hAnsi="Daytona Condensed Light"/>
          <w:sz w:val="20"/>
          <w:szCs w:val="20"/>
        </w:rPr>
        <w:t xml:space="preserve"> en Waarborgende instelling</w:t>
      </w:r>
      <w:r w:rsidRPr="00253B18">
        <w:rPr>
          <w:rFonts w:ascii="Daytona Condensed Light" w:hAnsi="Daytona Condensed Light"/>
          <w:sz w:val="20"/>
          <w:szCs w:val="20"/>
        </w:rPr>
        <w:t xml:space="preserve"> tijdig</w:t>
      </w:r>
      <w:r w:rsidR="00732D53">
        <w:rPr>
          <w:rFonts w:ascii="Daytona Condensed Light" w:hAnsi="Daytona Condensed Light"/>
          <w:sz w:val="20"/>
          <w:szCs w:val="20"/>
        </w:rPr>
        <w:t xml:space="preserve"> over de nieuwe aanneemsom</w:t>
      </w:r>
      <w:r w:rsidRPr="00253B18">
        <w:rPr>
          <w:rFonts w:ascii="Daytona Condensed Light" w:hAnsi="Daytona Condensed Light"/>
          <w:sz w:val="20"/>
          <w:szCs w:val="20"/>
        </w:rPr>
        <w:t xml:space="preserve">. </w:t>
      </w:r>
      <w:r w:rsidR="005168AA">
        <w:rPr>
          <w:rFonts w:ascii="Daytona Condensed Light" w:hAnsi="Daytona Condensed Light"/>
          <w:sz w:val="20"/>
          <w:szCs w:val="20"/>
        </w:rPr>
        <w:t xml:space="preserve">Raadpleeg </w:t>
      </w:r>
      <w:r w:rsidR="00732D53">
        <w:rPr>
          <w:rFonts w:ascii="Daytona Condensed Light" w:hAnsi="Daytona Condensed Light"/>
          <w:sz w:val="20"/>
          <w:szCs w:val="20"/>
        </w:rPr>
        <w:t>hier</w:t>
      </w:r>
      <w:r w:rsidR="005168AA">
        <w:rPr>
          <w:rFonts w:ascii="Daytona Condensed Light" w:hAnsi="Daytona Condensed Light"/>
          <w:sz w:val="20"/>
          <w:szCs w:val="20"/>
        </w:rPr>
        <w:t>voor de betreffende clausule</w:t>
      </w:r>
      <w:r w:rsidR="0059181A">
        <w:rPr>
          <w:rFonts w:ascii="Daytona Condensed Light" w:hAnsi="Daytona Condensed Light"/>
          <w:sz w:val="20"/>
          <w:szCs w:val="20"/>
        </w:rPr>
        <w:t>s</w:t>
      </w:r>
      <w:r w:rsidR="005168AA">
        <w:rPr>
          <w:rFonts w:ascii="Daytona Condensed Light" w:hAnsi="Daytona Condensed Light"/>
          <w:sz w:val="20"/>
          <w:szCs w:val="20"/>
        </w:rPr>
        <w:t>.</w:t>
      </w:r>
    </w:p>
    <w:p w14:paraId="60CBDDDE" w14:textId="0C45FBEB" w:rsidR="00253B18" w:rsidRPr="00253B18" w:rsidRDefault="00253B18" w:rsidP="00253B18">
      <w:pPr>
        <w:rPr>
          <w:rFonts w:ascii="Daytona Condensed Light" w:hAnsi="Daytona Condensed Light"/>
          <w:sz w:val="20"/>
          <w:szCs w:val="20"/>
        </w:rPr>
      </w:pPr>
      <w:r w:rsidRPr="00253B18">
        <w:rPr>
          <w:rFonts w:ascii="Segoe UI Symbol" w:hAnsi="Segoe UI Symbol" w:cs="Segoe UI Symbol"/>
          <w:sz w:val="20"/>
          <w:szCs w:val="20"/>
        </w:rPr>
        <w:t>➢</w:t>
      </w:r>
      <w:r w:rsidRPr="00253B18">
        <w:rPr>
          <w:rFonts w:ascii="Daytona Condensed Light" w:hAnsi="Daytona Condensed Light"/>
          <w:sz w:val="20"/>
          <w:szCs w:val="20"/>
        </w:rPr>
        <w:t xml:space="preserve"> Van de modellen afwijkende clausules moeten voorafgaand worden voorgelegd aan de Waarborgende instelling. Gebeurt dat niet, dan gelden die bepalingen niet tussen partijen. </w:t>
      </w:r>
    </w:p>
    <w:p w14:paraId="23901142" w14:textId="3BB69498" w:rsidR="00253B18" w:rsidRPr="00253B18" w:rsidRDefault="00253B18" w:rsidP="00253B18">
      <w:pPr>
        <w:rPr>
          <w:rFonts w:ascii="Daytona Condensed Light" w:hAnsi="Daytona Condensed Light"/>
          <w:sz w:val="20"/>
          <w:szCs w:val="20"/>
        </w:rPr>
      </w:pPr>
      <w:r w:rsidRPr="00253B18">
        <w:rPr>
          <w:rFonts w:ascii="Daytona Condensed Light" w:hAnsi="Daytona Condensed Light"/>
          <w:sz w:val="20"/>
          <w:szCs w:val="20"/>
        </w:rPr>
        <w:t xml:space="preserve"> </w:t>
      </w:r>
    </w:p>
    <w:p w14:paraId="0AF6747D" w14:textId="77777777" w:rsidR="00AD1C72" w:rsidRPr="00E232E8" w:rsidRDefault="00AD1C72" w:rsidP="00AD1C72">
      <w:pPr>
        <w:spacing w:after="0"/>
        <w:rPr>
          <w:rFonts w:ascii="Daytona Condensed Light" w:hAnsi="Daytona Condensed Light"/>
          <w:sz w:val="20"/>
          <w:szCs w:val="20"/>
        </w:rPr>
      </w:pPr>
      <w:r w:rsidRPr="00E232E8">
        <w:rPr>
          <w:rFonts w:ascii="Daytona Condensed Light" w:hAnsi="Daytona Condensed Light"/>
          <w:sz w:val="20"/>
          <w:szCs w:val="20"/>
        </w:rPr>
        <w:t xml:space="preserve">Informatie over deze aanwijzing: </w:t>
      </w:r>
    </w:p>
    <w:p w14:paraId="2BDF883F" w14:textId="77777777" w:rsidR="00AD1C72" w:rsidRDefault="00AD1C72" w:rsidP="00AD1C72">
      <w:pPr>
        <w:spacing w:after="0"/>
        <w:rPr>
          <w:rFonts w:ascii="Daytona Condensed Light" w:hAnsi="Daytona Condensed Light"/>
          <w:sz w:val="20"/>
          <w:szCs w:val="20"/>
        </w:rPr>
      </w:pPr>
      <w:r>
        <w:rPr>
          <w:rFonts w:ascii="Daytona Condensed Light" w:hAnsi="Daytona Condensed Light"/>
          <w:sz w:val="20"/>
          <w:szCs w:val="20"/>
        </w:rPr>
        <w:t>Bouwend Nederland Advies</w:t>
      </w:r>
    </w:p>
    <w:p w14:paraId="397AB280" w14:textId="77777777" w:rsidR="00AD1C72" w:rsidRPr="00E232E8" w:rsidRDefault="00AD1C72" w:rsidP="00AD1C72">
      <w:pPr>
        <w:spacing w:after="0"/>
        <w:rPr>
          <w:rFonts w:ascii="Daytona Condensed Light" w:hAnsi="Daytona Condensed Light"/>
          <w:sz w:val="20"/>
          <w:szCs w:val="20"/>
        </w:rPr>
      </w:pPr>
      <w:r>
        <w:rPr>
          <w:rFonts w:ascii="Daytona Condensed Light" w:hAnsi="Daytona Condensed Light"/>
          <w:sz w:val="20"/>
          <w:szCs w:val="20"/>
        </w:rPr>
        <w:t>advies@bouwendnederland.nl</w:t>
      </w:r>
      <w:r w:rsidRPr="00E232E8">
        <w:rPr>
          <w:rFonts w:ascii="Daytona Condensed Light" w:hAnsi="Daytona Condensed Light"/>
          <w:sz w:val="20"/>
          <w:szCs w:val="20"/>
        </w:rPr>
        <w:t xml:space="preserve">  </w:t>
      </w:r>
    </w:p>
    <w:p w14:paraId="331EBBA2" w14:textId="77777777" w:rsidR="00AD1C72" w:rsidRPr="00E232E8" w:rsidRDefault="00AD1C72" w:rsidP="00AD1C72">
      <w:pPr>
        <w:spacing w:after="0"/>
        <w:rPr>
          <w:rFonts w:ascii="Daytona Condensed Light" w:hAnsi="Daytona Condensed Light"/>
          <w:sz w:val="20"/>
          <w:szCs w:val="20"/>
        </w:rPr>
      </w:pPr>
      <w:r w:rsidRPr="00E232E8">
        <w:rPr>
          <w:rFonts w:ascii="Daytona Condensed Light" w:hAnsi="Daytona Condensed Light"/>
          <w:sz w:val="20"/>
          <w:szCs w:val="20"/>
        </w:rPr>
        <w:t xml:space="preserve">Zilverstraat 69 | 2718 RP  Zoetermeer </w:t>
      </w:r>
    </w:p>
    <w:p w14:paraId="3D10F53E" w14:textId="77777777" w:rsidR="00AD1C72" w:rsidRPr="00E232E8" w:rsidRDefault="00AD1C72" w:rsidP="00AD1C72">
      <w:pPr>
        <w:spacing w:after="0"/>
        <w:rPr>
          <w:rFonts w:ascii="Daytona Condensed Light" w:hAnsi="Daytona Condensed Light"/>
          <w:sz w:val="20"/>
          <w:szCs w:val="20"/>
        </w:rPr>
      </w:pPr>
      <w:r w:rsidRPr="00E232E8">
        <w:rPr>
          <w:rFonts w:ascii="Daytona Condensed Light" w:hAnsi="Daytona Condensed Light"/>
          <w:sz w:val="20"/>
          <w:szCs w:val="20"/>
        </w:rPr>
        <w:t xml:space="preserve">Postbus 340 | 2700 AH  Zoetermeer  </w:t>
      </w:r>
    </w:p>
    <w:p w14:paraId="4E9D18A0" w14:textId="77777777" w:rsidR="00AD1C72" w:rsidRPr="00E232E8" w:rsidRDefault="00AD1C72" w:rsidP="00AD1C72">
      <w:pPr>
        <w:spacing w:after="0"/>
        <w:rPr>
          <w:rFonts w:ascii="Daytona Condensed Light" w:hAnsi="Daytona Condensed Light"/>
          <w:sz w:val="20"/>
          <w:szCs w:val="20"/>
        </w:rPr>
      </w:pPr>
      <w:r w:rsidRPr="00E232E8">
        <w:rPr>
          <w:rFonts w:ascii="Daytona Condensed Light" w:hAnsi="Daytona Condensed Light"/>
          <w:sz w:val="20"/>
          <w:szCs w:val="20"/>
        </w:rPr>
        <w:t>T:+31 (0)79 3 252 25</w:t>
      </w:r>
      <w:r>
        <w:rPr>
          <w:rFonts w:ascii="Daytona Condensed Light" w:hAnsi="Daytona Condensed Light"/>
          <w:sz w:val="20"/>
          <w:szCs w:val="20"/>
        </w:rPr>
        <w:t>0</w:t>
      </w:r>
      <w:r w:rsidRPr="00E232E8">
        <w:rPr>
          <w:rFonts w:ascii="Daytona Condensed Light" w:hAnsi="Daytona Condensed Light"/>
          <w:sz w:val="20"/>
          <w:szCs w:val="20"/>
        </w:rPr>
        <w:t xml:space="preserve"> </w:t>
      </w:r>
    </w:p>
    <w:p w14:paraId="7BC68870" w14:textId="77777777" w:rsidR="00AD1C72" w:rsidRDefault="00AD1C72" w:rsidP="00AD1C72">
      <w:pPr>
        <w:spacing w:after="0"/>
        <w:rPr>
          <w:rFonts w:ascii="Daytona Condensed Light" w:hAnsi="Daytona Condensed Light"/>
          <w:sz w:val="20"/>
          <w:szCs w:val="20"/>
        </w:rPr>
      </w:pPr>
    </w:p>
    <w:p w14:paraId="0A6D3A7C" w14:textId="77777777" w:rsidR="00AD1C72" w:rsidRPr="00BD0B77" w:rsidRDefault="00AD1C72" w:rsidP="00AD1C72">
      <w:pPr>
        <w:spacing w:after="0"/>
        <w:rPr>
          <w:rFonts w:ascii="Daytona Condensed Light" w:hAnsi="Daytona Condensed Light"/>
          <w:b/>
          <w:bCs/>
          <w:sz w:val="20"/>
          <w:szCs w:val="20"/>
        </w:rPr>
      </w:pPr>
      <w:r w:rsidRPr="00BD0B77">
        <w:rPr>
          <w:rFonts w:ascii="Daytona Condensed Light" w:hAnsi="Daytona Condensed Light"/>
          <w:b/>
          <w:bCs/>
          <w:sz w:val="20"/>
          <w:szCs w:val="20"/>
        </w:rPr>
        <w:t xml:space="preserve">Disclaimer </w:t>
      </w:r>
    </w:p>
    <w:p w14:paraId="33FC15C4" w14:textId="77777777" w:rsidR="00AD1C72" w:rsidRPr="00E232E8" w:rsidRDefault="00AD1C72" w:rsidP="00AD1C72">
      <w:pPr>
        <w:spacing w:after="0"/>
        <w:rPr>
          <w:rFonts w:ascii="Daytona Condensed Light" w:hAnsi="Daytona Condensed Light"/>
          <w:sz w:val="20"/>
          <w:szCs w:val="20"/>
        </w:rPr>
      </w:pPr>
      <w:r w:rsidRPr="00E232E8">
        <w:rPr>
          <w:rFonts w:ascii="Daytona Condensed Light" w:hAnsi="Daytona Condensed Light"/>
          <w:sz w:val="20"/>
          <w:szCs w:val="20"/>
        </w:rPr>
        <w:t>Hoewel Bouwend Nederland bij de vervaardiging en samenstelling van deze aanwijzing de grootst mogelijke</w:t>
      </w:r>
      <w:r>
        <w:rPr>
          <w:rFonts w:ascii="Daytona Condensed Light" w:hAnsi="Daytona Condensed Light"/>
          <w:sz w:val="20"/>
          <w:szCs w:val="20"/>
        </w:rPr>
        <w:t xml:space="preserve"> z</w:t>
      </w:r>
      <w:r w:rsidRPr="00E232E8">
        <w:rPr>
          <w:rFonts w:ascii="Daytona Condensed Light" w:hAnsi="Daytona Condensed Light"/>
          <w:sz w:val="20"/>
          <w:szCs w:val="20"/>
        </w:rPr>
        <w:t>orgvuldigheid in acht neemt, aanvaardt zij geen aansprakelijkheid voor schade ontstaan door daarin voorkomende onjuistheden. De gebruiker is zich er van bewust dat de informatie kan veranderen zonder dat hij daarvan van tevoren op de hoogte wordt gebracht. We sluiten daarom elke aansprakelijkheid uit voor schade die verband houdt met het gebruik van deze aanwijzing. Deze aanwijzing kan worden afgedrukt voor persoonlijk gebruik met uitsluiting van elke verdere verveelvoudiging, distributie,</w:t>
      </w:r>
      <w:r>
        <w:rPr>
          <w:rFonts w:ascii="Daytona Condensed Light" w:hAnsi="Daytona Condensed Light"/>
          <w:sz w:val="20"/>
          <w:szCs w:val="20"/>
        </w:rPr>
        <w:t xml:space="preserve"> </w:t>
      </w:r>
      <w:r w:rsidRPr="00E232E8">
        <w:rPr>
          <w:rFonts w:ascii="Daytona Condensed Light" w:hAnsi="Daytona Condensed Light"/>
          <w:sz w:val="20"/>
          <w:szCs w:val="20"/>
        </w:rPr>
        <w:t>commercialisatie of exploitatie onder derden, tenzij daarvoor voorafgaande toestemming is verkregen van de auteur en/of Bouwend</w:t>
      </w:r>
      <w:r>
        <w:rPr>
          <w:rFonts w:ascii="Daytona Condensed Light" w:hAnsi="Daytona Condensed Light"/>
          <w:sz w:val="20"/>
          <w:szCs w:val="20"/>
        </w:rPr>
        <w:t xml:space="preserve"> Nederland.</w:t>
      </w:r>
    </w:p>
    <w:p w14:paraId="7E2D9B22" w14:textId="4DDBFB18" w:rsidR="000A67F4" w:rsidRPr="00253B18" w:rsidRDefault="000A67F4" w:rsidP="00253B18">
      <w:pPr>
        <w:rPr>
          <w:sz w:val="20"/>
          <w:szCs w:val="20"/>
        </w:rPr>
      </w:pPr>
    </w:p>
    <w:sectPr w:rsidR="000A67F4" w:rsidRPr="00253B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aytona Condensed Light">
    <w:charset w:val="00"/>
    <w:family w:val="swiss"/>
    <w:pitch w:val="variable"/>
    <w:sig w:usb0="8000002F" w:usb1="0000000A"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B18"/>
    <w:rsid w:val="00012F77"/>
    <w:rsid w:val="00034425"/>
    <w:rsid w:val="000A67F4"/>
    <w:rsid w:val="001530F9"/>
    <w:rsid w:val="00153BC3"/>
    <w:rsid w:val="00195CF8"/>
    <w:rsid w:val="001A1D2D"/>
    <w:rsid w:val="001A5E9D"/>
    <w:rsid w:val="0022784E"/>
    <w:rsid w:val="00253B18"/>
    <w:rsid w:val="00382039"/>
    <w:rsid w:val="0038778A"/>
    <w:rsid w:val="00447469"/>
    <w:rsid w:val="00450D59"/>
    <w:rsid w:val="00451B5E"/>
    <w:rsid w:val="004575D1"/>
    <w:rsid w:val="0048371D"/>
    <w:rsid w:val="005168AA"/>
    <w:rsid w:val="0059181A"/>
    <w:rsid w:val="005C0300"/>
    <w:rsid w:val="005D4527"/>
    <w:rsid w:val="006415B4"/>
    <w:rsid w:val="006760A8"/>
    <w:rsid w:val="006D4325"/>
    <w:rsid w:val="00732D53"/>
    <w:rsid w:val="009326AB"/>
    <w:rsid w:val="009654ED"/>
    <w:rsid w:val="00A45E3E"/>
    <w:rsid w:val="00A46648"/>
    <w:rsid w:val="00A61CE8"/>
    <w:rsid w:val="00A61EB3"/>
    <w:rsid w:val="00A67E27"/>
    <w:rsid w:val="00AB0822"/>
    <w:rsid w:val="00AC7FEC"/>
    <w:rsid w:val="00AD1C72"/>
    <w:rsid w:val="00C00A66"/>
    <w:rsid w:val="00C175E7"/>
    <w:rsid w:val="00C94778"/>
    <w:rsid w:val="00CA159D"/>
    <w:rsid w:val="00D0010C"/>
    <w:rsid w:val="00D61B60"/>
    <w:rsid w:val="00D81623"/>
    <w:rsid w:val="00DC1268"/>
    <w:rsid w:val="00DF41AF"/>
    <w:rsid w:val="00E02C67"/>
    <w:rsid w:val="00E50087"/>
    <w:rsid w:val="00E914D7"/>
    <w:rsid w:val="00EA2F32"/>
    <w:rsid w:val="00EE74EA"/>
    <w:rsid w:val="00F05079"/>
    <w:rsid w:val="00F0613C"/>
    <w:rsid w:val="00FC4988"/>
    <w:rsid w:val="00FE6767"/>
    <w:rsid w:val="00FF62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699AD"/>
  <w15:chartTrackingRefBased/>
  <w15:docId w15:val="{0E03C659-2486-4DB3-A8C7-04956870C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53B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53B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53B1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53B1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253B18"/>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253B18"/>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253B18"/>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253B18"/>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253B18"/>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3B1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53B1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53B18"/>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253B18"/>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253B18"/>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253B18"/>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253B18"/>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253B18"/>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253B18"/>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253B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3B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53B1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53B18"/>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253B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53B18"/>
    <w:rPr>
      <w:i/>
      <w:iCs/>
      <w:color w:val="404040" w:themeColor="text1" w:themeTint="BF"/>
    </w:rPr>
  </w:style>
  <w:style w:type="paragraph" w:styleId="Lijstalinea">
    <w:name w:val="List Paragraph"/>
    <w:basedOn w:val="Standaard"/>
    <w:uiPriority w:val="34"/>
    <w:qFormat/>
    <w:rsid w:val="00253B18"/>
    <w:pPr>
      <w:ind w:left="720"/>
      <w:contextualSpacing/>
    </w:pPr>
  </w:style>
  <w:style w:type="character" w:styleId="Intensievebenadrukking">
    <w:name w:val="Intense Emphasis"/>
    <w:basedOn w:val="Standaardalinea-lettertype"/>
    <w:uiPriority w:val="21"/>
    <w:qFormat/>
    <w:rsid w:val="00253B18"/>
    <w:rPr>
      <w:i/>
      <w:iCs/>
      <w:color w:val="0F4761" w:themeColor="accent1" w:themeShade="BF"/>
    </w:rPr>
  </w:style>
  <w:style w:type="paragraph" w:styleId="Duidelijkcitaat">
    <w:name w:val="Intense Quote"/>
    <w:basedOn w:val="Standaard"/>
    <w:next w:val="Standaard"/>
    <w:link w:val="DuidelijkcitaatChar"/>
    <w:uiPriority w:val="30"/>
    <w:qFormat/>
    <w:rsid w:val="00253B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53B18"/>
    <w:rPr>
      <w:i/>
      <w:iCs/>
      <w:color w:val="0F4761" w:themeColor="accent1" w:themeShade="BF"/>
    </w:rPr>
  </w:style>
  <w:style w:type="character" w:styleId="Intensieveverwijzing">
    <w:name w:val="Intense Reference"/>
    <w:basedOn w:val="Standaardalinea-lettertype"/>
    <w:uiPriority w:val="32"/>
    <w:qFormat/>
    <w:rsid w:val="00253B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783</Words>
  <Characters>4981</Characters>
  <Application>Microsoft Office Word</Application>
  <DocSecurity>0</DocSecurity>
  <Lines>63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Vermeij</dc:creator>
  <cp:keywords/>
  <dc:description/>
  <cp:lastModifiedBy>Peter Vermeij</cp:lastModifiedBy>
  <cp:revision>42</cp:revision>
  <dcterms:created xsi:type="dcterms:W3CDTF">2026-03-12T14:15:00Z</dcterms:created>
  <dcterms:modified xsi:type="dcterms:W3CDTF">2026-04-03T08:13:00Z</dcterms:modified>
</cp:coreProperties>
</file>