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69CE" w14:textId="70A5D484" w:rsidR="00253B18" w:rsidRPr="00253B18" w:rsidRDefault="00AD1C72" w:rsidP="00253B18">
      <w:pPr>
        <w:rPr>
          <w:rFonts w:ascii="Daytona Condensed Light" w:hAnsi="Daytona Condensed Light"/>
          <w:b/>
          <w:bCs/>
          <w:sz w:val="28"/>
          <w:szCs w:val="28"/>
        </w:rPr>
      </w:pPr>
      <w:r>
        <w:rPr>
          <w:rFonts w:ascii="Daytona Condensed Light" w:hAnsi="Daytona Condensed Light"/>
          <w:b/>
          <w:bCs/>
          <w:sz w:val="28"/>
          <w:szCs w:val="28"/>
        </w:rPr>
        <w:t xml:space="preserve">Aanwijzing: </w:t>
      </w:r>
      <w:r w:rsidR="00253B18" w:rsidRPr="00253B18">
        <w:rPr>
          <w:rFonts w:ascii="Daytona Condensed Light" w:hAnsi="Daytona Condensed Light"/>
          <w:b/>
          <w:bCs/>
          <w:sz w:val="28"/>
          <w:szCs w:val="28"/>
        </w:rPr>
        <w:t>Het doorberekenen van loon- en prijsstijgingen bij de (koop-</w:t>
      </w:r>
      <w:proofErr w:type="gramStart"/>
      <w:r w:rsidR="00253B18" w:rsidRPr="00253B18">
        <w:rPr>
          <w:rFonts w:ascii="Daytona Condensed Light" w:hAnsi="Daytona Condensed Light"/>
          <w:b/>
          <w:bCs/>
          <w:sz w:val="28"/>
          <w:szCs w:val="28"/>
        </w:rPr>
        <w:t>/)aannemingsovereenkomsten</w:t>
      </w:r>
      <w:proofErr w:type="gramEnd"/>
      <w:r w:rsidR="00253B18" w:rsidRPr="00253B18">
        <w:rPr>
          <w:rFonts w:ascii="Daytona Condensed Light" w:hAnsi="Daytona Condensed Light"/>
          <w:b/>
          <w:bCs/>
          <w:sz w:val="28"/>
          <w:szCs w:val="28"/>
        </w:rPr>
        <w:t xml:space="preserve"> van Woningborg, SWK en </w:t>
      </w:r>
      <w:proofErr w:type="spellStart"/>
      <w:r w:rsidR="00253B18" w:rsidRPr="00253B18">
        <w:rPr>
          <w:rFonts w:ascii="Daytona Condensed Light" w:hAnsi="Daytona Condensed Light"/>
          <w:b/>
          <w:bCs/>
          <w:sz w:val="28"/>
          <w:szCs w:val="28"/>
        </w:rPr>
        <w:t>BouwGarant</w:t>
      </w:r>
      <w:proofErr w:type="spellEnd"/>
      <w:r w:rsidR="00253B18" w:rsidRPr="00253B18">
        <w:rPr>
          <w:rFonts w:ascii="Daytona Condensed Light" w:hAnsi="Daytona Condensed Light"/>
          <w:b/>
          <w:bCs/>
          <w:sz w:val="28"/>
          <w:szCs w:val="28"/>
        </w:rPr>
        <w:t xml:space="preserve"> </w:t>
      </w:r>
      <w:r w:rsidRPr="00E232E8">
        <w:rPr>
          <w:rFonts w:ascii="Daytona Condensed Light" w:hAnsi="Daytona Condensed Light"/>
          <w:b/>
          <w:bCs/>
          <w:sz w:val="28"/>
          <w:szCs w:val="28"/>
        </w:rPr>
        <w:t>[maart 2026]</w:t>
      </w:r>
    </w:p>
    <w:p w14:paraId="78B7D51A" w14:textId="77777777" w:rsidR="00253B18" w:rsidRPr="00253B18" w:rsidRDefault="00253B18" w:rsidP="00253B18">
      <w:pPr>
        <w:rPr>
          <w:rFonts w:ascii="Daytona Condensed Light" w:hAnsi="Daytona Condensed Light"/>
        </w:rPr>
      </w:pPr>
    </w:p>
    <w:p w14:paraId="6715DE92" w14:textId="48301C3B" w:rsidR="00253B18" w:rsidRPr="00253B18" w:rsidRDefault="00253B18" w:rsidP="00253B18">
      <w:pPr>
        <w:rPr>
          <w:rFonts w:ascii="Daytona Condensed Light" w:hAnsi="Daytona Condensed Light"/>
          <w:b/>
          <w:bCs/>
          <w:sz w:val="20"/>
          <w:szCs w:val="20"/>
        </w:rPr>
      </w:pPr>
      <w:r w:rsidRPr="00253B18">
        <w:rPr>
          <w:rFonts w:ascii="Daytona Condensed Light" w:hAnsi="Daytona Condensed Light"/>
          <w:b/>
          <w:bCs/>
        </w:rPr>
        <w:t xml:space="preserve">Inleiding </w:t>
      </w:r>
    </w:p>
    <w:p w14:paraId="5E54EBCC" w14:textId="223BC806"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Ongeveer 90% van alle woningbouwprojecten wordt gebouwd onder toepassing van het keurmerk van de Stichting Garantiewoning. Door eisen te stellen aan de (koop-)aannemingsovereenkomsten, de geschillenregeling en de te verstrekken garanties en waarborgen, bevordert dit keurmerk de kwaliteit en het vertrouwen tussen consument en ondernemer (aanbieder, bijv. een bouwonderneming). De garantie- en waarborgregelingen in de woningbouw met het keurmerk van de Stichting Garantiewoning, worden aangeboden door Woningborg N.V., de Stichting Waarborgfonds Koopwoningen (SWK) en de Stichting </w:t>
      </w:r>
      <w:proofErr w:type="spellStart"/>
      <w:r w:rsidRPr="00253B18">
        <w:rPr>
          <w:rFonts w:ascii="Daytona Condensed Light" w:hAnsi="Daytona Condensed Light"/>
          <w:sz w:val="20"/>
          <w:szCs w:val="20"/>
        </w:rPr>
        <w:t>BouwGarant</w:t>
      </w:r>
      <w:proofErr w:type="spellEnd"/>
      <w:r w:rsidRPr="00253B18">
        <w:rPr>
          <w:rFonts w:ascii="Daytona Condensed Light" w:hAnsi="Daytona Condensed Light"/>
          <w:sz w:val="20"/>
          <w:szCs w:val="20"/>
        </w:rPr>
        <w:t xml:space="preserve">. De meeste bouwondernemingen zijn wel bij één van deze Waarborgende instellingen aangesloten. </w:t>
      </w:r>
    </w:p>
    <w:p w14:paraId="7AE6DFDA" w14:textId="77777777" w:rsidR="00253B18" w:rsidRPr="00253B18" w:rsidRDefault="00253B18" w:rsidP="00253B18">
      <w:pPr>
        <w:rPr>
          <w:rFonts w:ascii="Daytona Condensed Light" w:hAnsi="Daytona Condensed Light"/>
          <w:b/>
          <w:bCs/>
          <w:sz w:val="20"/>
          <w:szCs w:val="20"/>
        </w:rPr>
      </w:pPr>
      <w:r w:rsidRPr="00253B18">
        <w:rPr>
          <w:rFonts w:ascii="Daytona Condensed Light" w:hAnsi="Daytona Condensed Light"/>
          <w:b/>
          <w:bCs/>
          <w:sz w:val="20"/>
          <w:szCs w:val="20"/>
        </w:rPr>
        <w:t xml:space="preserve">Modelovereenkomsten en voorwaarden </w:t>
      </w:r>
    </w:p>
    <w:p w14:paraId="30F98712" w14:textId="5A630B6E"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Een ondernemer (aanbieder) die een woningbouwproject onder het keurmerk wil aanbieden, moet (verplicht) de daarbij behorende modelovereenkomsten en voorwaarden toepassen. Deze voorwaarden staan bij de verschillende Waarborgende instellingen op de website en zijn onderverdeeld naar de diverse type bouwwerken. Er zijn bijvoorbeeld modelovereenkomsten en voorwaarden voor kavelbouw, voor grondgebonden eengezinswoningen en voor appartementen. </w:t>
      </w:r>
    </w:p>
    <w:p w14:paraId="6FBF8C70" w14:textId="77777777" w:rsidR="00253B18" w:rsidRPr="00253B18" w:rsidRDefault="00253B18" w:rsidP="00253B18">
      <w:pPr>
        <w:rPr>
          <w:rFonts w:ascii="Daytona Condensed Light" w:hAnsi="Daytona Condensed Light"/>
          <w:b/>
          <w:bCs/>
          <w:sz w:val="20"/>
          <w:szCs w:val="20"/>
        </w:rPr>
      </w:pPr>
      <w:r w:rsidRPr="00253B18">
        <w:rPr>
          <w:rFonts w:ascii="Daytona Condensed Light" w:hAnsi="Daytona Condensed Light"/>
          <w:b/>
          <w:bCs/>
          <w:sz w:val="20"/>
          <w:szCs w:val="20"/>
        </w:rPr>
        <w:t xml:space="preserve">Het doorberekenen van loon- en prijsstijgingen </w:t>
      </w:r>
    </w:p>
    <w:p w14:paraId="3F87ED35" w14:textId="7C9560B5"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In de (verplicht toe te passen) voorwaarden is een breed scala aan onderwerpen geregeld, waaronder het doorberekenen van prijsstijgingen. In beginsel is het doorberekenen van hogere of lagere kosten van lonen, sociale lasten en materialen uitgesloten. Van dat uitgangspunt mag je afwijken, maar dat moeten partijen dan wel uitdrukkelijk overeenkomen. Het risico op prijsstijgingen wordt dan in de overeenkomst als een verrekenpost - ‘post risicoverrekening’ – opgenomen. </w:t>
      </w:r>
    </w:p>
    <w:p w14:paraId="654270AE" w14:textId="2592D6D2"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Prijsstijgingen kunnen tot maximaal het overeengekomen bedrag ten laste worden gebracht van de verrekenpost volgens een daarvoor tussen aanbieder (ondernemer) en opdrachtgever (verkrijger) overeen te komen maatstaf. </w:t>
      </w:r>
    </w:p>
    <w:p w14:paraId="40E9BF71" w14:textId="0D47FC47"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Voorbeeld uit de algemene voorwaarden behorende bij één van de modelovereenkomsten: </w:t>
      </w:r>
    </w:p>
    <w:p w14:paraId="62623208" w14:textId="77777777" w:rsidR="00253B18" w:rsidRPr="00AD1C72" w:rsidRDefault="00253B18" w:rsidP="00253B18">
      <w:pPr>
        <w:rPr>
          <w:rFonts w:ascii="Daytona Condensed Light" w:hAnsi="Daytona Condensed Light"/>
          <w:b/>
          <w:bCs/>
          <w:sz w:val="16"/>
          <w:szCs w:val="16"/>
        </w:rPr>
      </w:pPr>
      <w:r w:rsidRPr="00AD1C72">
        <w:rPr>
          <w:rFonts w:ascii="Daytona Condensed Light" w:hAnsi="Daytona Condensed Light"/>
          <w:b/>
          <w:bCs/>
          <w:sz w:val="16"/>
          <w:szCs w:val="16"/>
        </w:rPr>
        <w:t xml:space="preserve">ARTIKEL 5 - Doorberekening van loon- en prijsstijgingen </w:t>
      </w:r>
    </w:p>
    <w:p w14:paraId="2683C6B7" w14:textId="77777777" w:rsidR="00EA2F32" w:rsidRPr="00AD1C72" w:rsidRDefault="00253B18" w:rsidP="00253B18">
      <w:pPr>
        <w:rPr>
          <w:rFonts w:ascii="Daytona Condensed Light" w:hAnsi="Daytona Condensed Light"/>
          <w:sz w:val="16"/>
          <w:szCs w:val="16"/>
        </w:rPr>
      </w:pPr>
      <w:r w:rsidRPr="00AD1C72">
        <w:rPr>
          <w:rFonts w:ascii="Daytona Condensed Light" w:hAnsi="Daytona Condensed Light"/>
          <w:sz w:val="16"/>
          <w:szCs w:val="16"/>
        </w:rPr>
        <w:t xml:space="preserve">1. Doorberekening van meerdere of mindere kosten ten gevolge van wijziging van lonen, sociale lasten en materiaalprijzen is uitgesloten, tenzij bij het aangaan van de aannemingsovereenkomst anders is overeengekomen; in dat geval moet in de aannemingsovereenkomst een post risicoverrekening worden opgenomen tot het maximum waarvan doorberekening kan plaatsvinden, en in een schriftelijke overeenkomst worden geregeld vanaf welke datum en volgens welke maatstaf die doorberekening zal plaatsvinden en hoe en wanneer de betaling moet geschieden.  </w:t>
      </w:r>
    </w:p>
    <w:p w14:paraId="173C9D39" w14:textId="028E41ED" w:rsidR="00253B18" w:rsidRPr="00AD1C72" w:rsidRDefault="00253B18" w:rsidP="00253B18">
      <w:pPr>
        <w:rPr>
          <w:rFonts w:ascii="Daytona Condensed Light" w:hAnsi="Daytona Condensed Light"/>
          <w:sz w:val="16"/>
          <w:szCs w:val="16"/>
        </w:rPr>
      </w:pPr>
      <w:r w:rsidRPr="00AD1C72">
        <w:rPr>
          <w:rFonts w:ascii="Daytona Condensed Light" w:hAnsi="Daytona Condensed Light"/>
          <w:sz w:val="16"/>
          <w:szCs w:val="16"/>
        </w:rPr>
        <w:t xml:space="preserve">2. </w:t>
      </w:r>
      <w:proofErr w:type="gramStart"/>
      <w:r w:rsidRPr="00AD1C72">
        <w:rPr>
          <w:rFonts w:ascii="Daytona Condensed Light" w:hAnsi="Daytona Condensed Light"/>
          <w:sz w:val="16"/>
          <w:szCs w:val="16"/>
        </w:rPr>
        <w:t>Indien</w:t>
      </w:r>
      <w:proofErr w:type="gramEnd"/>
      <w:r w:rsidRPr="00AD1C72">
        <w:rPr>
          <w:rFonts w:ascii="Daytona Condensed Light" w:hAnsi="Daytona Condensed Light"/>
          <w:sz w:val="16"/>
          <w:szCs w:val="16"/>
        </w:rPr>
        <w:t xml:space="preserve"> van overheidswege het percentage van de omzetbelasting (BTW) wordt gewijzigd, zal tussen partijen verrekening plaatsvinden overeenkomstig de wettelijke bepalingen ter zake.  </w:t>
      </w:r>
    </w:p>
    <w:p w14:paraId="0B684204" w14:textId="4B53292D" w:rsidR="00253B18" w:rsidRPr="00EA2F32" w:rsidRDefault="00253B18" w:rsidP="00253B18">
      <w:pPr>
        <w:rPr>
          <w:rFonts w:ascii="Daytona Condensed Light" w:hAnsi="Daytona Condensed Light"/>
          <w:b/>
          <w:bCs/>
          <w:sz w:val="20"/>
          <w:szCs w:val="20"/>
        </w:rPr>
      </w:pPr>
      <w:r w:rsidRPr="00EA2F32">
        <w:rPr>
          <w:rFonts w:ascii="Daytona Condensed Light" w:hAnsi="Daytona Condensed Light"/>
          <w:b/>
          <w:bCs/>
          <w:sz w:val="20"/>
          <w:szCs w:val="20"/>
        </w:rPr>
        <w:t xml:space="preserve">Standaard contractclausules post risicoverrekening  </w:t>
      </w:r>
    </w:p>
    <w:p w14:paraId="2206F681" w14:textId="221843C7" w:rsidR="00EA2F32" w:rsidRDefault="00253B18" w:rsidP="00253B18">
      <w:pPr>
        <w:rPr>
          <w:rFonts w:ascii="Daytona Condensed Light" w:hAnsi="Daytona Condensed Light"/>
          <w:sz w:val="20"/>
          <w:szCs w:val="20"/>
        </w:rPr>
      </w:pPr>
      <w:r w:rsidRPr="00253B18">
        <w:rPr>
          <w:rFonts w:ascii="Daytona Condensed Light" w:hAnsi="Daytona Condensed Light"/>
          <w:sz w:val="20"/>
          <w:szCs w:val="20"/>
        </w:rPr>
        <w:t>De Waarborgende instellingen hebben ieder voor zich clausules opgesteld, die in een (koop</w:t>
      </w:r>
      <w:proofErr w:type="gramStart"/>
      <w:r w:rsidRPr="00253B18">
        <w:rPr>
          <w:rFonts w:ascii="Daytona Condensed Light" w:hAnsi="Daytona Condensed Light"/>
          <w:sz w:val="20"/>
          <w:szCs w:val="20"/>
        </w:rPr>
        <w:t>/)aannemingsovereenkomst</w:t>
      </w:r>
      <w:proofErr w:type="gramEnd"/>
      <w:r w:rsidRPr="00253B18">
        <w:rPr>
          <w:rFonts w:ascii="Daytona Condensed Light" w:hAnsi="Daytona Condensed Light"/>
          <w:sz w:val="20"/>
          <w:szCs w:val="20"/>
        </w:rPr>
        <w:t xml:space="preserve"> gebruikt kunnen worden om een risicoverrekening overeen te komen. De strekking van die clausules is ongeveer hetzelfde. </w:t>
      </w:r>
      <w:r w:rsidR="00EA2F32">
        <w:rPr>
          <w:rFonts w:ascii="Daytona Condensed Light" w:hAnsi="Daytona Condensed Light"/>
          <w:sz w:val="20"/>
          <w:szCs w:val="20"/>
        </w:rPr>
        <w:t>Je kunt deze opvragen bij de betreffende waarborgende instelling. Uitgangspunten daarbij zijn veelal de volgende:</w:t>
      </w:r>
    </w:p>
    <w:p w14:paraId="1C8AB6E3" w14:textId="77777777" w:rsidR="00EA2F32" w:rsidRDefault="00EA2F32" w:rsidP="00253B18">
      <w:pPr>
        <w:rPr>
          <w:rFonts w:ascii="Daytona Condensed Light" w:hAnsi="Daytona Condensed Light"/>
          <w:sz w:val="20"/>
          <w:szCs w:val="20"/>
        </w:rPr>
      </w:pPr>
      <w:r w:rsidRPr="00EA2F32">
        <w:rPr>
          <w:rFonts w:ascii="Segoe UI Symbol" w:hAnsi="Segoe UI Symbol" w:cs="Segoe UI Symbol"/>
          <w:sz w:val="20"/>
          <w:szCs w:val="20"/>
        </w:rPr>
        <w:t>➢</w:t>
      </w:r>
      <w:r w:rsidRPr="00EA2F32">
        <w:rPr>
          <w:rFonts w:ascii="Daytona Condensed Light" w:hAnsi="Daytona Condensed Light"/>
          <w:sz w:val="20"/>
          <w:szCs w:val="20"/>
        </w:rPr>
        <w:t xml:space="preserve"> Prijsstijgingen mogen tot ten hoogste het bedrag van de post risicoverrekening worden doorberekend met een absoluut maximum van 5% van de aanneemsom; </w:t>
      </w:r>
    </w:p>
    <w:p w14:paraId="08CD8B5E" w14:textId="77777777" w:rsidR="00EA2F32" w:rsidRDefault="00EA2F32" w:rsidP="00253B18">
      <w:pPr>
        <w:rPr>
          <w:rFonts w:ascii="Daytona Condensed Light" w:hAnsi="Daytona Condensed Light"/>
          <w:sz w:val="20"/>
          <w:szCs w:val="20"/>
        </w:rPr>
      </w:pPr>
      <w:r w:rsidRPr="00EA2F32">
        <w:rPr>
          <w:rFonts w:ascii="Segoe UI Symbol" w:hAnsi="Segoe UI Symbol" w:cs="Segoe UI Symbol"/>
          <w:sz w:val="20"/>
          <w:szCs w:val="20"/>
        </w:rPr>
        <w:t>➢</w:t>
      </w:r>
      <w:r w:rsidRPr="00EA2F32">
        <w:rPr>
          <w:rFonts w:ascii="Daytona Condensed Light" w:hAnsi="Daytona Condensed Light"/>
          <w:sz w:val="20"/>
          <w:szCs w:val="20"/>
        </w:rPr>
        <w:t xml:space="preserve"> Te verrekenen prijsstijgingen moeten uiterlijk bij aanvang van het werk aan de opdrachtgever (verkrijger) zijn gemeld. Meldingen daarna worden als </w:t>
      </w:r>
      <w:r w:rsidRPr="00EA2F32">
        <w:rPr>
          <w:rFonts w:ascii="Daytona Condensed Light" w:hAnsi="Daytona Condensed Light" w:cs="Daytona Condensed Light"/>
          <w:sz w:val="20"/>
          <w:szCs w:val="20"/>
        </w:rPr>
        <w:t>‘</w:t>
      </w:r>
      <w:r w:rsidRPr="00EA2F32">
        <w:rPr>
          <w:rFonts w:ascii="Daytona Condensed Light" w:hAnsi="Daytona Condensed Light"/>
          <w:sz w:val="20"/>
          <w:szCs w:val="20"/>
        </w:rPr>
        <w:t>niet tijdig</w:t>
      </w:r>
      <w:r w:rsidRPr="00EA2F32">
        <w:rPr>
          <w:rFonts w:ascii="Daytona Condensed Light" w:hAnsi="Daytona Condensed Light" w:cs="Daytona Condensed Light"/>
          <w:sz w:val="20"/>
          <w:szCs w:val="20"/>
        </w:rPr>
        <w:t>’</w:t>
      </w:r>
      <w:r w:rsidRPr="00EA2F32">
        <w:rPr>
          <w:rFonts w:ascii="Daytona Condensed Light" w:hAnsi="Daytona Condensed Light"/>
          <w:sz w:val="20"/>
          <w:szCs w:val="20"/>
        </w:rPr>
        <w:t xml:space="preserve"> aangemerkt, waardoor prijsstijgingen die zich na aanvang van het werk voordoen feitelijk niet verrekenbaar zijn. </w:t>
      </w:r>
    </w:p>
    <w:p w14:paraId="77E66051" w14:textId="1096EB4C" w:rsidR="00EA2F32" w:rsidRPr="00EA2F32" w:rsidRDefault="00EA2F32" w:rsidP="00253B18">
      <w:pPr>
        <w:rPr>
          <w:rFonts w:ascii="Daytona Condensed Light" w:hAnsi="Daytona Condensed Light"/>
          <w:sz w:val="20"/>
          <w:szCs w:val="20"/>
        </w:rPr>
      </w:pPr>
      <w:r w:rsidRPr="00EA2F32">
        <w:rPr>
          <w:rFonts w:ascii="Segoe UI Symbol" w:hAnsi="Segoe UI Symbol" w:cs="Segoe UI Symbol"/>
          <w:sz w:val="20"/>
          <w:szCs w:val="20"/>
        </w:rPr>
        <w:lastRenderedPageBreak/>
        <w:t>➢</w:t>
      </w:r>
      <w:r w:rsidRPr="00EA2F32">
        <w:rPr>
          <w:rFonts w:ascii="Daytona Condensed Light" w:hAnsi="Daytona Condensed Light"/>
          <w:sz w:val="20"/>
          <w:szCs w:val="20"/>
        </w:rPr>
        <w:t xml:space="preserve"> Verrekening is pas aan de orde als er drie maanden zijn verstreken na het aangaan van de (koop-</w:t>
      </w:r>
      <w:proofErr w:type="gramStart"/>
      <w:r w:rsidRPr="00EA2F32">
        <w:rPr>
          <w:rFonts w:ascii="Daytona Condensed Light" w:hAnsi="Daytona Condensed Light"/>
          <w:sz w:val="20"/>
          <w:szCs w:val="20"/>
        </w:rPr>
        <w:t>/)aannemingsovereenkomst</w:t>
      </w:r>
      <w:proofErr w:type="gramEnd"/>
      <w:r w:rsidRPr="00EA2F32">
        <w:rPr>
          <w:rFonts w:ascii="Daytona Condensed Light" w:hAnsi="Daytona Condensed Light"/>
          <w:sz w:val="20"/>
          <w:szCs w:val="20"/>
        </w:rPr>
        <w:t>. Een soort van ‘inloopperiode’ gedurende welke prijsstijgingen niet worden doorberekend. Prijsstijgingen die zich binnen die inloopperiode van drie maanden voordoen, blijven voor rekening van de ondernemer (aanbieder).</w:t>
      </w:r>
    </w:p>
    <w:p w14:paraId="5D70A9AF" w14:textId="1C31B0AD" w:rsidR="00253B18" w:rsidRPr="00EA2F32" w:rsidRDefault="00EA2F32" w:rsidP="00253B18">
      <w:pPr>
        <w:rPr>
          <w:rFonts w:ascii="Daytona Condensed Light" w:hAnsi="Daytona Condensed Light"/>
          <w:b/>
          <w:bCs/>
          <w:sz w:val="20"/>
          <w:szCs w:val="20"/>
        </w:rPr>
      </w:pPr>
      <w:r w:rsidRPr="00EA2F32">
        <w:rPr>
          <w:rFonts w:ascii="Daytona Condensed Light" w:hAnsi="Daytona Condensed Light"/>
          <w:b/>
          <w:bCs/>
          <w:sz w:val="20"/>
          <w:szCs w:val="20"/>
        </w:rPr>
        <w:t>De a</w:t>
      </w:r>
      <w:r w:rsidR="00253B18" w:rsidRPr="00EA2F32">
        <w:rPr>
          <w:rFonts w:ascii="Daytona Condensed Light" w:hAnsi="Daytona Condensed Light"/>
          <w:b/>
          <w:bCs/>
          <w:sz w:val="20"/>
          <w:szCs w:val="20"/>
        </w:rPr>
        <w:t xml:space="preserve">andachtspunten bij het opnemen van een verrekenpost risico prijsstijgingen </w:t>
      </w:r>
    </w:p>
    <w:p w14:paraId="6762D17C" w14:textId="043E1CE8" w:rsidR="00253B18" w:rsidRPr="00253B18" w:rsidRDefault="00253B18" w:rsidP="00253B18">
      <w:pPr>
        <w:rPr>
          <w:rFonts w:ascii="Daytona Condensed Light" w:hAnsi="Daytona Condensed Light"/>
          <w:sz w:val="20"/>
          <w:szCs w:val="20"/>
        </w:rPr>
      </w:pPr>
      <w:r w:rsidRPr="00253B18">
        <w:rPr>
          <w:rFonts w:ascii="Segoe UI Symbol" w:hAnsi="Segoe UI Symbol" w:cs="Segoe UI Symbol"/>
          <w:sz w:val="20"/>
          <w:szCs w:val="20"/>
        </w:rPr>
        <w:t>➢</w:t>
      </w:r>
      <w:r w:rsidRPr="00253B18">
        <w:rPr>
          <w:rFonts w:ascii="Daytona Condensed Light" w:hAnsi="Daytona Condensed Light"/>
          <w:sz w:val="20"/>
          <w:szCs w:val="20"/>
        </w:rPr>
        <w:t xml:space="preserve"> De verkrijger moet voorafgaand aan het sluiten van een (koop-</w:t>
      </w:r>
      <w:proofErr w:type="gramStart"/>
      <w:r w:rsidRPr="00253B18">
        <w:rPr>
          <w:rFonts w:ascii="Daytona Condensed Light" w:hAnsi="Daytona Condensed Light"/>
          <w:sz w:val="20"/>
          <w:szCs w:val="20"/>
        </w:rPr>
        <w:t>/)aannemingsovereenkomst</w:t>
      </w:r>
      <w:proofErr w:type="gramEnd"/>
      <w:r w:rsidRPr="00253B18">
        <w:rPr>
          <w:rFonts w:ascii="Daytona Condensed Light" w:hAnsi="Daytona Condensed Light"/>
          <w:sz w:val="20"/>
          <w:szCs w:val="20"/>
        </w:rPr>
        <w:t xml:space="preserve"> expliciet worden gewezen op de ‘Doorberekening van loon- en prijsstijgingen’ en de daarvoor in de overeenkomst opgenomen ‘post risicoverrekening’. Dit kan immers gevolgen hebben voor de financiering; </w:t>
      </w:r>
    </w:p>
    <w:p w14:paraId="64A5086A" w14:textId="2A551470" w:rsidR="00253B18" w:rsidRPr="00253B18" w:rsidRDefault="00253B18" w:rsidP="00253B18">
      <w:pPr>
        <w:rPr>
          <w:rFonts w:ascii="Daytona Condensed Light" w:hAnsi="Daytona Condensed Light"/>
          <w:sz w:val="20"/>
          <w:szCs w:val="20"/>
        </w:rPr>
      </w:pPr>
      <w:r w:rsidRPr="00253B18">
        <w:rPr>
          <w:rFonts w:ascii="Segoe UI Symbol" w:hAnsi="Segoe UI Symbol" w:cs="Segoe UI Symbol"/>
          <w:sz w:val="20"/>
          <w:szCs w:val="20"/>
        </w:rPr>
        <w:t>➢</w:t>
      </w:r>
      <w:r w:rsidRPr="00253B18">
        <w:rPr>
          <w:rFonts w:ascii="Daytona Condensed Light" w:hAnsi="Daytona Condensed Light"/>
          <w:sz w:val="20"/>
          <w:szCs w:val="20"/>
        </w:rPr>
        <w:t xml:space="preserve"> Vanaf drie maanden na ondertekening van de overeenkomst tot uiterlijk de start van het werk kunnen loon- en prijsstijgingen verrekend worden. Prijsstijgingen die zich buiten deze periodes voordoen blijven voor rekening van de ondernemer (aanbieder). Dit is een reëel en aanzienlijk risico voor de ondernemer (aanbieder); </w:t>
      </w:r>
    </w:p>
    <w:p w14:paraId="6576DD1F" w14:textId="4FCA2585" w:rsidR="00253B18" w:rsidRPr="00253B18" w:rsidRDefault="00253B18" w:rsidP="00253B18">
      <w:pPr>
        <w:rPr>
          <w:rFonts w:ascii="Daytona Condensed Light" w:hAnsi="Daytona Condensed Light"/>
          <w:sz w:val="20"/>
          <w:szCs w:val="20"/>
        </w:rPr>
      </w:pPr>
      <w:r w:rsidRPr="00253B18">
        <w:rPr>
          <w:rFonts w:ascii="Segoe UI Symbol" w:hAnsi="Segoe UI Symbol" w:cs="Segoe UI Symbol"/>
          <w:sz w:val="20"/>
          <w:szCs w:val="20"/>
        </w:rPr>
        <w:t>➢</w:t>
      </w:r>
      <w:r w:rsidRPr="00253B18">
        <w:rPr>
          <w:rFonts w:ascii="Daytona Condensed Light" w:hAnsi="Daytona Condensed Light"/>
          <w:sz w:val="20"/>
          <w:szCs w:val="20"/>
        </w:rPr>
        <w:t xml:space="preserve"> Koop je vroegtijdig in om prijsstijgingen voor te zijn, verdisconteer dan in de aanneemsom de kosten van voorfinanciering, opslagfaciliteit(en) en eventueel andere daarmee samenhangende maatregelen; </w:t>
      </w:r>
    </w:p>
    <w:p w14:paraId="5D541EF8" w14:textId="190E4E10" w:rsidR="00253B18" w:rsidRPr="00253B18" w:rsidRDefault="00253B18" w:rsidP="00253B18">
      <w:pPr>
        <w:rPr>
          <w:rFonts w:ascii="Daytona Condensed Light" w:hAnsi="Daytona Condensed Light"/>
          <w:sz w:val="20"/>
          <w:szCs w:val="20"/>
        </w:rPr>
      </w:pPr>
      <w:r w:rsidRPr="00253B18">
        <w:rPr>
          <w:rFonts w:ascii="Segoe UI Symbol" w:hAnsi="Segoe UI Symbol" w:cs="Segoe UI Symbol"/>
          <w:sz w:val="20"/>
          <w:szCs w:val="20"/>
        </w:rPr>
        <w:t>➢</w:t>
      </w:r>
      <w:r w:rsidRPr="00253B18">
        <w:rPr>
          <w:rFonts w:ascii="Daytona Condensed Light" w:hAnsi="Daytona Condensed Light"/>
          <w:sz w:val="20"/>
          <w:szCs w:val="20"/>
        </w:rPr>
        <w:t xml:space="preserve"> Prijsverrekening is beperkt tot het in lid 1 genoemde maximum van 5% van de aanneemsom. Het meerdere komt voor eigen rekening; </w:t>
      </w:r>
    </w:p>
    <w:p w14:paraId="601340DA" w14:textId="77777777" w:rsidR="00EA2F32" w:rsidRDefault="00253B18" w:rsidP="00253B18">
      <w:pPr>
        <w:rPr>
          <w:rFonts w:ascii="Daytona Condensed Light" w:hAnsi="Daytona Condensed Light"/>
          <w:sz w:val="20"/>
          <w:szCs w:val="20"/>
        </w:rPr>
      </w:pPr>
      <w:r w:rsidRPr="00253B18">
        <w:rPr>
          <w:rFonts w:ascii="Segoe UI Symbol" w:hAnsi="Segoe UI Symbol" w:cs="Segoe UI Symbol"/>
          <w:sz w:val="20"/>
          <w:szCs w:val="20"/>
        </w:rPr>
        <w:t>➢</w:t>
      </w:r>
      <w:r w:rsidRPr="00253B18">
        <w:rPr>
          <w:rFonts w:ascii="Daytona Condensed Light" w:hAnsi="Daytona Condensed Light"/>
          <w:sz w:val="20"/>
          <w:szCs w:val="20"/>
        </w:rPr>
        <w:t xml:space="preserve"> De maatstaf volgens welke de doorberekening zal plaatsvinden moet tussen ondernemer (aanbieder) en opdrachtgever (verkrijger) worden overeengekomen. Dat kan bijvoorbeeld een (op de kenmerken van het werk afgestemde) indexerings- of risicoregeling zijn of een verrekening op basis van een vergelijk tussen de opgenomen bedragen in de begroting voor het werk en de werkelijke inkoopkosten in de daarvoor in aanmerking komende periode. Deze manier van verrekenen moet door de ondernemer (aanbieder) in de overeenkomst worden opgenomen en met de opdrachtgever (verkrijger) worden overeengekomen; </w:t>
      </w:r>
    </w:p>
    <w:p w14:paraId="4A7B4697" w14:textId="2019FAD3" w:rsidR="00253B18" w:rsidRPr="00253B18" w:rsidRDefault="00253B18" w:rsidP="00253B18">
      <w:pPr>
        <w:rPr>
          <w:rFonts w:ascii="Daytona Condensed Light" w:hAnsi="Daytona Condensed Light"/>
          <w:sz w:val="20"/>
          <w:szCs w:val="20"/>
        </w:rPr>
      </w:pPr>
      <w:r w:rsidRPr="00253B18">
        <w:rPr>
          <w:rFonts w:ascii="Segoe UI Symbol" w:hAnsi="Segoe UI Symbol" w:cs="Segoe UI Symbol"/>
          <w:sz w:val="20"/>
          <w:szCs w:val="20"/>
        </w:rPr>
        <w:t>➢</w:t>
      </w:r>
      <w:r w:rsidRPr="00253B18">
        <w:rPr>
          <w:rFonts w:ascii="Daytona Condensed Light" w:hAnsi="Daytona Condensed Light"/>
          <w:sz w:val="20"/>
          <w:szCs w:val="20"/>
        </w:rPr>
        <w:t xml:space="preserve"> Waarschuw de opdrachtgever (verkrijger) tijdig als je een beroep wilt doen op een overeengekomen </w:t>
      </w:r>
      <w:proofErr w:type="spellStart"/>
      <w:r w:rsidRPr="00253B18">
        <w:rPr>
          <w:rFonts w:ascii="Daytona Condensed Light" w:hAnsi="Daytona Condensed Light"/>
          <w:sz w:val="20"/>
          <w:szCs w:val="20"/>
        </w:rPr>
        <w:t>verrekeningsbeding</w:t>
      </w:r>
      <w:proofErr w:type="spellEnd"/>
      <w:r w:rsidRPr="00253B18">
        <w:rPr>
          <w:rFonts w:ascii="Daytona Condensed Light" w:hAnsi="Daytona Condensed Light"/>
          <w:sz w:val="20"/>
          <w:szCs w:val="20"/>
        </w:rPr>
        <w:t xml:space="preserve">. Onderzoek eerst alternatieven, waarmee de extra kosten (deels) kunnen worden gecompenseerd. Het door de opdrachtgever (verkrijger) vereenvoudigen, verkleinen of zelfs (tijdelijk) staken van het werk zijn allemaal mogelijkheden om prijsconsequenties voor zoveel mogelijk te beperken/compenseren; </w:t>
      </w:r>
    </w:p>
    <w:p w14:paraId="49FA8A29" w14:textId="796DF3B4" w:rsidR="00253B18" w:rsidRPr="00253B18" w:rsidRDefault="00253B18" w:rsidP="00253B18">
      <w:pPr>
        <w:rPr>
          <w:rFonts w:ascii="Daytona Condensed Light" w:hAnsi="Daytona Condensed Light"/>
          <w:sz w:val="20"/>
          <w:szCs w:val="20"/>
        </w:rPr>
      </w:pPr>
      <w:r w:rsidRPr="00253B18">
        <w:rPr>
          <w:rFonts w:ascii="Segoe UI Symbol" w:hAnsi="Segoe UI Symbol" w:cs="Segoe UI Symbol"/>
          <w:sz w:val="20"/>
          <w:szCs w:val="20"/>
        </w:rPr>
        <w:t>➢</w:t>
      </w:r>
      <w:r w:rsidRPr="00253B18">
        <w:rPr>
          <w:rFonts w:ascii="Daytona Condensed Light" w:hAnsi="Daytona Condensed Light"/>
          <w:sz w:val="20"/>
          <w:szCs w:val="20"/>
        </w:rPr>
        <w:t xml:space="preserve"> De standaardtekst vermeldt niet wanneer de betalingen van kostenstijgingen plaatsvindt. De Waarborgende instellingen gaan er in beginsel van uit dat de betaling de percentages van de termijnenregeling volgt; </w:t>
      </w:r>
    </w:p>
    <w:p w14:paraId="60CBDDDE" w14:textId="3911D0B0" w:rsidR="00253B18" w:rsidRPr="00253B18" w:rsidRDefault="00253B18" w:rsidP="00253B18">
      <w:pPr>
        <w:rPr>
          <w:rFonts w:ascii="Daytona Condensed Light" w:hAnsi="Daytona Condensed Light"/>
          <w:sz w:val="20"/>
          <w:szCs w:val="20"/>
        </w:rPr>
      </w:pPr>
      <w:r w:rsidRPr="00253B18">
        <w:rPr>
          <w:rFonts w:ascii="Segoe UI Symbol" w:hAnsi="Segoe UI Symbol" w:cs="Segoe UI Symbol"/>
          <w:sz w:val="20"/>
          <w:szCs w:val="20"/>
        </w:rPr>
        <w:t>➢</w:t>
      </w:r>
      <w:r w:rsidRPr="00253B18">
        <w:rPr>
          <w:rFonts w:ascii="Daytona Condensed Light" w:hAnsi="Daytona Condensed Light"/>
          <w:sz w:val="20"/>
          <w:szCs w:val="20"/>
        </w:rPr>
        <w:t xml:space="preserve"> Van de modellen afwijkende clausules ten nadele van een opdrachtgever (verkrijger), moeten voorafgaand worden voorgelegd aan de Waarborgende instelling. Gebeurt dat niet, dan gelden die bepalingen niet tussen partijen. </w:t>
      </w:r>
    </w:p>
    <w:p w14:paraId="080B780D" w14:textId="7B7FD516" w:rsidR="00253B18" w:rsidRPr="00EA2F32" w:rsidRDefault="00253B18" w:rsidP="00253B18">
      <w:pPr>
        <w:rPr>
          <w:rFonts w:ascii="Daytona Condensed Light" w:hAnsi="Daytona Condensed Light"/>
          <w:b/>
          <w:bCs/>
          <w:sz w:val="20"/>
          <w:szCs w:val="20"/>
        </w:rPr>
      </w:pPr>
      <w:r w:rsidRPr="00EA2F32">
        <w:rPr>
          <w:rFonts w:ascii="Daytona Condensed Light" w:hAnsi="Daytona Condensed Light"/>
          <w:b/>
          <w:bCs/>
          <w:sz w:val="20"/>
          <w:szCs w:val="20"/>
        </w:rPr>
        <w:t xml:space="preserve">Standpunt van Bouwend Nederland </w:t>
      </w:r>
    </w:p>
    <w:p w14:paraId="6741035F" w14:textId="506856EF"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Bouwend Nederland (BNL) vindt dat de door de Waarborgende instellingen gehanteerde risicotoedeling moet worden aangepast. Prijsstijgingen zoals we die nu ondervinden, zijn immers voor een ondernemer niet voorzienbaar, beheersbaar of beïnvloedbaar. </w:t>
      </w:r>
    </w:p>
    <w:p w14:paraId="23901142" w14:textId="5D35756E" w:rsidR="00253B18" w:rsidRPr="00253B18" w:rsidRDefault="00253B18" w:rsidP="00253B18">
      <w:pPr>
        <w:rPr>
          <w:rFonts w:ascii="Daytona Condensed Light" w:hAnsi="Daytona Condensed Light"/>
          <w:sz w:val="20"/>
          <w:szCs w:val="20"/>
        </w:rPr>
      </w:pPr>
      <w:r w:rsidRPr="00253B18">
        <w:rPr>
          <w:rFonts w:ascii="Daytona Condensed Light" w:hAnsi="Daytona Condensed Light"/>
          <w:sz w:val="20"/>
          <w:szCs w:val="20"/>
        </w:rPr>
        <w:t xml:space="preserve">Vanuit het oogpunt van de financierbaarheid van de bouw van een woning door particulieren, is het begrijpelijk dat de mogelijkheid tot verrekening wordt gemaximaliseerd. Welk percentage daarvoor wordt gebruikt zou moeten afhangen van de vraag of, en zo ja in welke mate een </w:t>
      </w:r>
      <w:proofErr w:type="spellStart"/>
      <w:r w:rsidRPr="00253B18">
        <w:rPr>
          <w:rFonts w:ascii="Daytona Condensed Light" w:hAnsi="Daytona Condensed Light"/>
          <w:sz w:val="20"/>
          <w:szCs w:val="20"/>
        </w:rPr>
        <w:t>verrekeningsbeding</w:t>
      </w:r>
      <w:proofErr w:type="spellEnd"/>
      <w:r w:rsidRPr="00253B18">
        <w:rPr>
          <w:rFonts w:ascii="Daytona Condensed Light" w:hAnsi="Daytona Condensed Light"/>
          <w:sz w:val="20"/>
          <w:szCs w:val="20"/>
        </w:rPr>
        <w:t xml:space="preserve"> met een bepaalde inhoud de financierbaarheid in de weg zit. Dat hangt voornamelijk af van de financiële mogelijkheden van de desbetreffende opdrachtgever. Dat verschilt dus van geval tot geval. Een vast percentage doet aan dat aspect géén recht. Het is aan marktpartijen om daarover een voor beide partijen, </w:t>
      </w:r>
      <w:proofErr w:type="spellStart"/>
      <w:r w:rsidRPr="00253B18">
        <w:rPr>
          <w:rFonts w:ascii="Daytona Condensed Light" w:hAnsi="Daytona Condensed Light"/>
          <w:sz w:val="20"/>
          <w:szCs w:val="20"/>
        </w:rPr>
        <w:t>projectspecifieke</w:t>
      </w:r>
      <w:proofErr w:type="spellEnd"/>
      <w:r w:rsidRPr="00253B18">
        <w:rPr>
          <w:rFonts w:ascii="Daytona Condensed Light" w:hAnsi="Daytona Condensed Light"/>
          <w:sz w:val="20"/>
          <w:szCs w:val="20"/>
        </w:rPr>
        <w:t xml:space="preserve"> passende afspraak te maken. Verder moet goed gekeken worden naar de bijzonder korte (lees: te korte) termijn, waarbinnen verrekening volgens de door de Waarborgende instellingen voorgeschreven voorwaarden mogelijk is. Prijsstijgingen doen zich immers voor gedurende de gehele periode van het sluiten van de overeenkomst tot aan de oplevering. Relevant voor de bouwkosten is dan de periode waarbinnen wordt ingekocht. Doordat de aanspraak op verrekening is gemaximaliseerd tot een overeen te komen percentage van de aanneemsom, is het niet relevant wanneer </w:t>
      </w:r>
      <w:r w:rsidRPr="00253B18">
        <w:rPr>
          <w:rFonts w:ascii="Daytona Condensed Light" w:hAnsi="Daytona Condensed Light"/>
          <w:sz w:val="20"/>
          <w:szCs w:val="20"/>
        </w:rPr>
        <w:lastRenderedPageBreak/>
        <w:t xml:space="preserve">die prijsstijgingen zich voordoen. Meer dan het overeen te komen maximum kan de aanspraak van de ondernemer (aanbieder) immers niet worden. Het ligt dan ook voor de hand die eis los te laten met uitzondering van de ‘inloopperiode’ van drie maanden. Die uitzondering is nu eenmaal ingegeven door Europese regelging, die is omgezet in nationale wetgeving.  </w:t>
      </w:r>
    </w:p>
    <w:p w14:paraId="0AF6747D" w14:textId="77777777" w:rsidR="00AD1C72" w:rsidRPr="00E232E8" w:rsidRDefault="00AD1C72" w:rsidP="00AD1C72">
      <w:pPr>
        <w:spacing w:after="0"/>
        <w:rPr>
          <w:rFonts w:ascii="Daytona Condensed Light" w:hAnsi="Daytona Condensed Light"/>
          <w:sz w:val="20"/>
          <w:szCs w:val="20"/>
        </w:rPr>
      </w:pPr>
      <w:r w:rsidRPr="00E232E8">
        <w:rPr>
          <w:rFonts w:ascii="Daytona Condensed Light" w:hAnsi="Daytona Condensed Light"/>
          <w:sz w:val="20"/>
          <w:szCs w:val="20"/>
        </w:rPr>
        <w:t xml:space="preserve">Informatie over deze aanwijzing: </w:t>
      </w:r>
    </w:p>
    <w:p w14:paraId="2BDF883F" w14:textId="77777777" w:rsidR="00AD1C72" w:rsidRDefault="00AD1C72" w:rsidP="00AD1C72">
      <w:pPr>
        <w:spacing w:after="0"/>
        <w:rPr>
          <w:rFonts w:ascii="Daytona Condensed Light" w:hAnsi="Daytona Condensed Light"/>
          <w:sz w:val="20"/>
          <w:szCs w:val="20"/>
        </w:rPr>
      </w:pPr>
      <w:r>
        <w:rPr>
          <w:rFonts w:ascii="Daytona Condensed Light" w:hAnsi="Daytona Condensed Light"/>
          <w:sz w:val="20"/>
          <w:szCs w:val="20"/>
        </w:rPr>
        <w:t>Bouwend Nederland Advies</w:t>
      </w:r>
    </w:p>
    <w:p w14:paraId="397AB280" w14:textId="77777777" w:rsidR="00AD1C72" w:rsidRPr="00E232E8" w:rsidRDefault="00AD1C72" w:rsidP="00AD1C72">
      <w:pPr>
        <w:spacing w:after="0"/>
        <w:rPr>
          <w:rFonts w:ascii="Daytona Condensed Light" w:hAnsi="Daytona Condensed Light"/>
          <w:sz w:val="20"/>
          <w:szCs w:val="20"/>
        </w:rPr>
      </w:pPr>
      <w:proofErr w:type="gramStart"/>
      <w:r>
        <w:rPr>
          <w:rFonts w:ascii="Daytona Condensed Light" w:hAnsi="Daytona Condensed Light"/>
          <w:sz w:val="20"/>
          <w:szCs w:val="20"/>
        </w:rPr>
        <w:t>advies@bouwendnederland.nl</w:t>
      </w:r>
      <w:proofErr w:type="gramEnd"/>
      <w:r w:rsidRPr="00E232E8">
        <w:rPr>
          <w:rFonts w:ascii="Daytona Condensed Light" w:hAnsi="Daytona Condensed Light"/>
          <w:sz w:val="20"/>
          <w:szCs w:val="20"/>
        </w:rPr>
        <w:t xml:space="preserve">  </w:t>
      </w:r>
    </w:p>
    <w:p w14:paraId="331EBBA2" w14:textId="77777777" w:rsidR="00AD1C72" w:rsidRPr="00E232E8" w:rsidRDefault="00AD1C72" w:rsidP="00AD1C72">
      <w:pPr>
        <w:spacing w:after="0"/>
        <w:rPr>
          <w:rFonts w:ascii="Daytona Condensed Light" w:hAnsi="Daytona Condensed Light"/>
          <w:sz w:val="20"/>
          <w:szCs w:val="20"/>
        </w:rPr>
      </w:pPr>
      <w:r w:rsidRPr="00E232E8">
        <w:rPr>
          <w:rFonts w:ascii="Daytona Condensed Light" w:hAnsi="Daytona Condensed Light"/>
          <w:sz w:val="20"/>
          <w:szCs w:val="20"/>
        </w:rPr>
        <w:t xml:space="preserve">Zilverstraat 69 | 2718 RP  Zoetermeer </w:t>
      </w:r>
    </w:p>
    <w:p w14:paraId="3D10F53E" w14:textId="77777777" w:rsidR="00AD1C72" w:rsidRPr="00E232E8" w:rsidRDefault="00AD1C72" w:rsidP="00AD1C72">
      <w:pPr>
        <w:spacing w:after="0"/>
        <w:rPr>
          <w:rFonts w:ascii="Daytona Condensed Light" w:hAnsi="Daytona Condensed Light"/>
          <w:sz w:val="20"/>
          <w:szCs w:val="20"/>
        </w:rPr>
      </w:pPr>
      <w:r w:rsidRPr="00E232E8">
        <w:rPr>
          <w:rFonts w:ascii="Daytona Condensed Light" w:hAnsi="Daytona Condensed Light"/>
          <w:sz w:val="20"/>
          <w:szCs w:val="20"/>
        </w:rPr>
        <w:t xml:space="preserve">Postbus 340 | 2700 AH  Zoetermeer  </w:t>
      </w:r>
    </w:p>
    <w:p w14:paraId="4E9D18A0" w14:textId="77777777" w:rsidR="00AD1C72" w:rsidRPr="00E232E8" w:rsidRDefault="00AD1C72" w:rsidP="00AD1C72">
      <w:pPr>
        <w:spacing w:after="0"/>
        <w:rPr>
          <w:rFonts w:ascii="Daytona Condensed Light" w:hAnsi="Daytona Condensed Light"/>
          <w:sz w:val="20"/>
          <w:szCs w:val="20"/>
        </w:rPr>
      </w:pPr>
      <w:proofErr w:type="gramStart"/>
      <w:r w:rsidRPr="00E232E8">
        <w:rPr>
          <w:rFonts w:ascii="Daytona Condensed Light" w:hAnsi="Daytona Condensed Light"/>
          <w:sz w:val="20"/>
          <w:szCs w:val="20"/>
        </w:rPr>
        <w:t>T:+</w:t>
      </w:r>
      <w:proofErr w:type="gramEnd"/>
      <w:r w:rsidRPr="00E232E8">
        <w:rPr>
          <w:rFonts w:ascii="Daytona Condensed Light" w:hAnsi="Daytona Condensed Light"/>
          <w:sz w:val="20"/>
          <w:szCs w:val="20"/>
        </w:rPr>
        <w:t>31 (0)79 3 252 25</w:t>
      </w:r>
      <w:r>
        <w:rPr>
          <w:rFonts w:ascii="Daytona Condensed Light" w:hAnsi="Daytona Condensed Light"/>
          <w:sz w:val="20"/>
          <w:szCs w:val="20"/>
        </w:rPr>
        <w:t>0</w:t>
      </w:r>
      <w:r w:rsidRPr="00E232E8">
        <w:rPr>
          <w:rFonts w:ascii="Daytona Condensed Light" w:hAnsi="Daytona Condensed Light"/>
          <w:sz w:val="20"/>
          <w:szCs w:val="20"/>
        </w:rPr>
        <w:t xml:space="preserve"> </w:t>
      </w:r>
    </w:p>
    <w:p w14:paraId="7BC68870" w14:textId="77777777" w:rsidR="00AD1C72" w:rsidRDefault="00AD1C72" w:rsidP="00AD1C72">
      <w:pPr>
        <w:spacing w:after="0"/>
        <w:rPr>
          <w:rFonts w:ascii="Daytona Condensed Light" w:hAnsi="Daytona Condensed Light"/>
          <w:sz w:val="20"/>
          <w:szCs w:val="20"/>
        </w:rPr>
      </w:pPr>
    </w:p>
    <w:p w14:paraId="0A6D3A7C" w14:textId="77777777" w:rsidR="00AD1C72" w:rsidRPr="00BD0B77" w:rsidRDefault="00AD1C72" w:rsidP="00AD1C72">
      <w:pPr>
        <w:spacing w:after="0"/>
        <w:rPr>
          <w:rFonts w:ascii="Daytona Condensed Light" w:hAnsi="Daytona Condensed Light"/>
          <w:b/>
          <w:bCs/>
          <w:sz w:val="20"/>
          <w:szCs w:val="20"/>
        </w:rPr>
      </w:pPr>
      <w:r w:rsidRPr="00BD0B77">
        <w:rPr>
          <w:rFonts w:ascii="Daytona Condensed Light" w:hAnsi="Daytona Condensed Light"/>
          <w:b/>
          <w:bCs/>
          <w:sz w:val="20"/>
          <w:szCs w:val="20"/>
        </w:rPr>
        <w:t xml:space="preserve">Disclaimer </w:t>
      </w:r>
    </w:p>
    <w:p w14:paraId="33FC15C4" w14:textId="321DF470" w:rsidR="00AD1C72" w:rsidRPr="00E232E8" w:rsidRDefault="00AD1C72" w:rsidP="00AD1C72">
      <w:pPr>
        <w:spacing w:after="0"/>
        <w:rPr>
          <w:rFonts w:ascii="Daytona Condensed Light" w:hAnsi="Daytona Condensed Light"/>
          <w:sz w:val="20"/>
          <w:szCs w:val="20"/>
        </w:rPr>
      </w:pPr>
      <w:r w:rsidRPr="00E232E8">
        <w:rPr>
          <w:rFonts w:ascii="Daytona Condensed Light" w:hAnsi="Daytona Condensed Light"/>
          <w:sz w:val="20"/>
          <w:szCs w:val="20"/>
        </w:rPr>
        <w:t>Hoewel Bouwend Nederland bij de vervaardiging en samenstelling van deze aanwijzing de grootst mogelijke</w:t>
      </w:r>
      <w:r>
        <w:rPr>
          <w:rFonts w:ascii="Daytona Condensed Light" w:hAnsi="Daytona Condensed Light"/>
          <w:sz w:val="20"/>
          <w:szCs w:val="20"/>
        </w:rPr>
        <w:t xml:space="preserve"> z</w:t>
      </w:r>
      <w:r w:rsidRPr="00E232E8">
        <w:rPr>
          <w:rFonts w:ascii="Daytona Condensed Light" w:hAnsi="Daytona Condensed Light"/>
          <w:sz w:val="20"/>
          <w:szCs w:val="20"/>
        </w:rPr>
        <w:t>orgvuldigheid in acht neemt, aanvaardt zij geen aansprakelijkheid voor schade ontstaan door daarin voorkomende onjuistheden. De gebruiker is zich ervan bewust dat de informatie kan veranderen zonder dat hij daarvan van tevoren op de hoogte wordt gebracht. We sluiten daarom elke aansprakelijkheid uit voor schade die verband houdt met het gebruik van deze aanwijzing. Deze aanwijzing kan worden afgedrukt voor persoonlijk gebruik met uitsluiting van elke verdere verveelvoudiging, distributie,</w:t>
      </w:r>
      <w:r>
        <w:rPr>
          <w:rFonts w:ascii="Daytona Condensed Light" w:hAnsi="Daytona Condensed Light"/>
          <w:sz w:val="20"/>
          <w:szCs w:val="20"/>
        </w:rPr>
        <w:t xml:space="preserve"> </w:t>
      </w:r>
      <w:r w:rsidRPr="00E232E8">
        <w:rPr>
          <w:rFonts w:ascii="Daytona Condensed Light" w:hAnsi="Daytona Condensed Light"/>
          <w:sz w:val="20"/>
          <w:szCs w:val="20"/>
        </w:rPr>
        <w:t>commercialisatie of exploitatie onder derden, tenzij daarvoor voorafgaande toestemming is verkregen van de auteur en/of Bouwend</w:t>
      </w:r>
      <w:r>
        <w:rPr>
          <w:rFonts w:ascii="Daytona Condensed Light" w:hAnsi="Daytona Condensed Light"/>
          <w:sz w:val="20"/>
          <w:szCs w:val="20"/>
        </w:rPr>
        <w:t xml:space="preserve"> Nederland.</w:t>
      </w:r>
    </w:p>
    <w:p w14:paraId="7E2D9B22" w14:textId="4DDBFB18" w:rsidR="000A67F4" w:rsidRPr="00253B18" w:rsidRDefault="000A67F4" w:rsidP="00253B18">
      <w:pPr>
        <w:rPr>
          <w:sz w:val="20"/>
          <w:szCs w:val="20"/>
        </w:rPr>
      </w:pPr>
    </w:p>
    <w:sectPr w:rsidR="000A67F4" w:rsidRPr="00253B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aytona Condensed Light">
    <w:altName w:val="Calibri"/>
    <w:panose1 w:val="020B0306030503040204"/>
    <w:charset w:val="00"/>
    <w:family w:val="swiss"/>
    <w:pitch w:val="variable"/>
    <w:sig w:usb0="8000002F" w:usb1="0000000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18"/>
    <w:rsid w:val="0009070B"/>
    <w:rsid w:val="000A67F4"/>
    <w:rsid w:val="00253B18"/>
    <w:rsid w:val="00451B5E"/>
    <w:rsid w:val="005D4527"/>
    <w:rsid w:val="00A46648"/>
    <w:rsid w:val="00A61CE8"/>
    <w:rsid w:val="00AD1C72"/>
    <w:rsid w:val="00DC1268"/>
    <w:rsid w:val="00E914D7"/>
    <w:rsid w:val="00EA2F32"/>
    <w:rsid w:val="00EC7A22"/>
    <w:rsid w:val="00F0613C"/>
    <w:rsid w:val="00FC4988"/>
    <w:rsid w:val="00FE6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99AD"/>
  <w15:chartTrackingRefBased/>
  <w15:docId w15:val="{0E03C659-2486-4DB3-A8C7-04956870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3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3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3B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3B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253B1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253B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53B1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53B1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53B1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3B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3B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3B18"/>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253B1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253B1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253B1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53B1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53B1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53B1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53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3B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3B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3B1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53B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3B18"/>
    <w:rPr>
      <w:i/>
      <w:iCs/>
      <w:color w:val="404040" w:themeColor="text1" w:themeTint="BF"/>
    </w:rPr>
  </w:style>
  <w:style w:type="paragraph" w:styleId="Lijstalinea">
    <w:name w:val="List Paragraph"/>
    <w:basedOn w:val="Standaard"/>
    <w:uiPriority w:val="34"/>
    <w:qFormat/>
    <w:rsid w:val="00253B18"/>
    <w:pPr>
      <w:ind w:left="720"/>
      <w:contextualSpacing/>
    </w:pPr>
  </w:style>
  <w:style w:type="character" w:styleId="Intensievebenadrukking">
    <w:name w:val="Intense Emphasis"/>
    <w:basedOn w:val="Standaardalinea-lettertype"/>
    <w:uiPriority w:val="21"/>
    <w:qFormat/>
    <w:rsid w:val="00253B18"/>
    <w:rPr>
      <w:i/>
      <w:iCs/>
      <w:color w:val="0F4761" w:themeColor="accent1" w:themeShade="BF"/>
    </w:rPr>
  </w:style>
  <w:style w:type="paragraph" w:styleId="Duidelijkcitaat">
    <w:name w:val="Intense Quote"/>
    <w:basedOn w:val="Standaard"/>
    <w:next w:val="Standaard"/>
    <w:link w:val="DuidelijkcitaatChar"/>
    <w:uiPriority w:val="30"/>
    <w:qFormat/>
    <w:rsid w:val="00253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3B18"/>
    <w:rPr>
      <w:i/>
      <w:iCs/>
      <w:color w:val="0F4761" w:themeColor="accent1" w:themeShade="BF"/>
    </w:rPr>
  </w:style>
  <w:style w:type="character" w:styleId="Intensieveverwijzing">
    <w:name w:val="Intense Reference"/>
    <w:basedOn w:val="Standaardalinea-lettertype"/>
    <w:uiPriority w:val="32"/>
    <w:qFormat/>
    <w:rsid w:val="00253B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A7AD0191F8D49AC2BB0925067D78A" ma:contentTypeVersion="3" ma:contentTypeDescription="Een nieuw document maken." ma:contentTypeScope="" ma:versionID="1b90cae104c283dba896b608508b4b37">
  <xsd:schema xmlns:xsd="http://www.w3.org/2001/XMLSchema" xmlns:xs="http://www.w3.org/2001/XMLSchema" xmlns:p="http://schemas.microsoft.com/office/2006/metadata/properties" xmlns:ns2="572a3412-1880-4a48-833f-712c0404ec07" targetNamespace="http://schemas.microsoft.com/office/2006/metadata/properties" ma:root="true" ma:fieldsID="fa4f3c25d596d49779b6e8d148390aa7" ns2:_="">
    <xsd:import namespace="572a3412-1880-4a48-833f-712c0404ec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a3412-1880-4a48-833f-712c0404e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4E953-B35D-4F04-B0C1-C0ECB8B464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6580B-236E-4300-BCE5-37617EC08FD7}">
  <ds:schemaRefs>
    <ds:schemaRef ds:uri="http://schemas.microsoft.com/sharepoint/v3/contenttype/forms"/>
  </ds:schemaRefs>
</ds:datastoreItem>
</file>

<file path=customXml/itemProps3.xml><?xml version="1.0" encoding="utf-8"?>
<ds:datastoreItem xmlns:ds="http://schemas.openxmlformats.org/officeDocument/2006/customXml" ds:itemID="{22B322D4-059F-42C3-86BD-79CADDA85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a3412-1880-4a48-833f-712c0404e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1434</Words>
  <Characters>7892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Vermeij</dc:creator>
  <cp:keywords/>
  <dc:description/>
  <cp:lastModifiedBy>Jeroen Olthof</cp:lastModifiedBy>
  <cp:revision>3</cp:revision>
  <dcterms:created xsi:type="dcterms:W3CDTF">2026-03-12T14:15:00Z</dcterms:created>
  <dcterms:modified xsi:type="dcterms:W3CDTF">2026-03-12T14:19:00Z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0x010100D5CA7AD0191F8D49AC2BB0925067D78A</vt:lpwstr>
  </property>
</Properties>
</file>